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39A101" w14:textId="728012BA" w:rsidR="00CC2C44" w:rsidRDefault="00CC2C44" w:rsidP="001F23E4">
      <w:pPr>
        <w:pStyle w:val="a1"/>
        <w:rPr>
          <w:spacing w:val="-1"/>
        </w:rPr>
      </w:pPr>
      <w:r>
        <w:rPr>
          <w:spacing w:val="-1"/>
        </w:rPr>
        <w:t>Получение энергии из электромагнитного поля возбуждения в магнитно-резонансном томографе с помощью системы приёмных антенн</w:t>
      </w:r>
    </w:p>
    <w:p w14:paraId="4680BCE5" w14:textId="1E364996" w:rsidR="00417A8F" w:rsidRDefault="00CC2C44" w:rsidP="001F23E4">
      <w:pPr>
        <w:pStyle w:val="a3"/>
        <w:rPr>
          <w:b/>
          <w:bCs/>
        </w:rPr>
      </w:pPr>
      <w:r>
        <w:rPr>
          <w:b/>
          <w:bCs/>
        </w:rPr>
        <w:t>Бурмистров Олег Ильич</w:t>
      </w:r>
    </w:p>
    <w:p w14:paraId="23B1CD32" w14:textId="1E4663DA" w:rsidR="00CC2C44" w:rsidRPr="001F23E4" w:rsidRDefault="00CC2C44" w:rsidP="001F23E4">
      <w:pPr>
        <w:pStyle w:val="a3"/>
        <w:rPr>
          <w:i/>
          <w:iCs/>
        </w:rPr>
      </w:pPr>
      <w:r w:rsidRPr="001F23E4">
        <w:rPr>
          <w:i/>
          <w:iCs/>
        </w:rPr>
        <w:t>Студент 2-ого курса магистратуры</w:t>
      </w:r>
    </w:p>
    <w:p w14:paraId="0D71578C" w14:textId="7CC8055D" w:rsidR="00CC2C44" w:rsidRPr="001F23E4" w:rsidRDefault="00CC2C44" w:rsidP="001F23E4">
      <w:pPr>
        <w:pStyle w:val="a3"/>
        <w:rPr>
          <w:i/>
          <w:iCs/>
        </w:rPr>
      </w:pPr>
      <w:r w:rsidRPr="001F23E4">
        <w:rPr>
          <w:i/>
          <w:iCs/>
        </w:rPr>
        <w:t>Национальный исследовательский университет ИТМО, физико-технический факультет, Санкт-Петербург, Россия</w:t>
      </w:r>
    </w:p>
    <w:p w14:paraId="3F495ED6" w14:textId="1405BFF2" w:rsidR="00CC2C44" w:rsidRPr="001F23E4" w:rsidRDefault="00CC2C44" w:rsidP="001F23E4">
      <w:pPr>
        <w:pStyle w:val="a3"/>
        <w:rPr>
          <w:i/>
          <w:iCs/>
          <w:lang w:val="en-GB"/>
        </w:rPr>
      </w:pPr>
      <w:r w:rsidRPr="001F23E4">
        <w:rPr>
          <w:i/>
          <w:iCs/>
          <w:lang w:val="en-GB"/>
        </w:rPr>
        <w:t xml:space="preserve">E-mail: </w:t>
      </w:r>
      <w:hyperlink r:id="rId7" w:history="1">
        <w:r w:rsidR="001F23E4" w:rsidRPr="001F23E4">
          <w:rPr>
            <w:rStyle w:val="Hyperlink"/>
            <w:i/>
            <w:iCs/>
            <w:lang w:val="en-GB"/>
          </w:rPr>
          <w:t>ob_an602@mail.ru</w:t>
        </w:r>
      </w:hyperlink>
    </w:p>
    <w:p w14:paraId="2E406804" w14:textId="0659DBD5" w:rsidR="005871FB" w:rsidRDefault="005871FB" w:rsidP="001F23E4">
      <w:pPr>
        <w:jc w:val="both"/>
      </w:pPr>
    </w:p>
    <w:p w14:paraId="746A3D16" w14:textId="77777777" w:rsidR="008B3BAF" w:rsidRDefault="005871FB" w:rsidP="000B77C0">
      <w:pPr>
        <w:ind w:firstLine="720"/>
        <w:jc w:val="both"/>
      </w:pPr>
      <w:r>
        <w:t>Магнитно-резонансная томография (МРТ)</w:t>
      </w:r>
      <w:r>
        <w:t xml:space="preserve"> относится к методу неинвазивной медицинской диагностики. Работа МР-сканера основана на </w:t>
      </w:r>
      <w:r w:rsidR="0012197B">
        <w:t xml:space="preserve">работе с радиочастотными и магнитными полями, </w:t>
      </w:r>
      <w:proofErr w:type="gramStart"/>
      <w:r w:rsidR="0012197B">
        <w:t>при том</w:t>
      </w:r>
      <w:proofErr w:type="gramEnd"/>
      <w:r w:rsidR="0012197B">
        <w:t xml:space="preserve"> работа с данными полями осуществляется двумя фазами: приёма и передачи. Когда осуществляется фаза передачи, создаётся мощное радиочастотное поле (</w:t>
      </w:r>
      <w:r w:rsidR="0012197B">
        <w:rPr>
          <w:lang w:val="en-GB"/>
        </w:rPr>
        <w:t>B</w:t>
      </w:r>
      <w:r w:rsidR="0012197B" w:rsidRPr="0012197B">
        <w:t>1)</w:t>
      </w:r>
      <w:r w:rsidR="0012197B">
        <w:t xml:space="preserve">, поворачивающие </w:t>
      </w:r>
      <w:r w:rsidR="0012197B">
        <w:t>собственны</w:t>
      </w:r>
      <w:r w:rsidR="0012197B">
        <w:t>е</w:t>
      </w:r>
      <w:r w:rsidR="0012197B">
        <w:t xml:space="preserve"> магнитны</w:t>
      </w:r>
      <w:r w:rsidR="0012197B">
        <w:t>е</w:t>
      </w:r>
      <w:r w:rsidR="0012197B">
        <w:t xml:space="preserve"> момент</w:t>
      </w:r>
      <w:r w:rsidR="0012197B">
        <w:t>ы</w:t>
      </w:r>
      <w:r w:rsidR="0012197B">
        <w:t xml:space="preserve"> (спин</w:t>
      </w:r>
      <w:r w:rsidR="0012197B">
        <w:t>ы</w:t>
      </w:r>
      <w:r w:rsidR="0012197B">
        <w:t>) ядер атомов водорода</w:t>
      </w:r>
      <w:r w:rsidR="0012197B">
        <w:t xml:space="preserve"> в объекте исследования. </w:t>
      </w:r>
    </w:p>
    <w:p w14:paraId="309340C3" w14:textId="77777777" w:rsidR="008B3BAF" w:rsidRDefault="0012197B" w:rsidP="000B77C0">
      <w:pPr>
        <w:ind w:firstLine="720"/>
        <w:jc w:val="both"/>
      </w:pPr>
      <w:r>
        <w:t>Во время фазы приёма регистрируется отклик системы</w:t>
      </w:r>
      <w:r w:rsidR="000B77C0">
        <w:t xml:space="preserve"> на определённой частоте (в зависимости от величины постоянного магнитного поля МР-сканера)</w:t>
      </w:r>
      <w:r>
        <w:t xml:space="preserve">, так как после фазы приёма происходит релаксация и магнитные моменты атомов возвращаются в исходное состояние. </w:t>
      </w:r>
      <w:r w:rsidR="000B77C0">
        <w:t xml:space="preserve">Поскольку регистрируемый сигнал имеет крайне малую величину, применяются приёмные локальные катушки, расположенные вблизи объекта исследования (часто объект исследования помещается в локальную катушку). </w:t>
      </w:r>
    </w:p>
    <w:p w14:paraId="279F9E7A" w14:textId="77777777" w:rsidR="00B450E6" w:rsidRDefault="000B77C0" w:rsidP="000B77C0">
      <w:pPr>
        <w:ind w:firstLine="720"/>
        <w:jc w:val="both"/>
      </w:pPr>
      <w:r>
        <w:t xml:space="preserve">Во время клинических исследований применяются различные локальные приёмные катушки для различных видов исследований. Они подключаются к МР-сканеру с помощью кабеля. Однако отсутствие кабеля позволило бы решить следующие проблемы: физический износ кабелей и разъёмов, отсутствие достаточно габаритного кабельного фильтра (для предотвращения его нагрева), </w:t>
      </w:r>
      <w:r w:rsidR="008B3BAF">
        <w:t xml:space="preserve">при увеличении числа каналов (которое увеличивается с каждым годом в МР-сканерах) растут габариты кабелей, увеличение комфорта для пациента и увеличение скорости укладки пациента. </w:t>
      </w:r>
    </w:p>
    <w:p w14:paraId="54CDB579" w14:textId="70EFE348" w:rsidR="00B450E6" w:rsidRDefault="008B3BAF" w:rsidP="000B77C0">
      <w:pPr>
        <w:ind w:firstLine="720"/>
        <w:jc w:val="both"/>
      </w:pPr>
      <w:r>
        <w:t xml:space="preserve">Для реализации данной идеи требуется решить 2 проблемы: беспроводная передача информации из локальной катушки и беспроводное питание катушки. Данные решения не должны искажать поле, так как это повлияет на качество изображений и должны быть достаточно компактными. В ряде работ </w:t>
      </w:r>
      <w:r w:rsidR="00320FD2" w:rsidRPr="00320FD2">
        <w:t xml:space="preserve">[1] </w:t>
      </w:r>
      <w:r>
        <w:t xml:space="preserve">уже было </w:t>
      </w:r>
      <w:r w:rsidR="00B450E6">
        <w:t xml:space="preserve">предложено </w:t>
      </w:r>
      <w:r>
        <w:t>переносит</w:t>
      </w:r>
      <w:r w:rsidR="00B450E6">
        <w:t>ь информацию</w:t>
      </w:r>
      <w:r>
        <w:t xml:space="preserve"> на частоту, на которой влияние на качество изображений </w:t>
      </w:r>
      <w:r w:rsidR="00B450E6">
        <w:t xml:space="preserve">отсутствует. </w:t>
      </w:r>
    </w:p>
    <w:p w14:paraId="40532E4E" w14:textId="75DBC1DC" w:rsidR="005871FB" w:rsidRDefault="00B450E6" w:rsidP="000B77C0">
      <w:pPr>
        <w:ind w:firstLine="720"/>
        <w:jc w:val="both"/>
      </w:pPr>
      <w:r>
        <w:t>Также существует ряд работ</w:t>
      </w:r>
      <w:r w:rsidR="00320FD2" w:rsidRPr="00320FD2">
        <w:t xml:space="preserve"> [2]</w:t>
      </w:r>
      <w:r>
        <w:t xml:space="preserve">, где осуществляется приём энергии из поля </w:t>
      </w:r>
      <w:r>
        <w:rPr>
          <w:lang w:val="en-GB"/>
        </w:rPr>
        <w:t>B</w:t>
      </w:r>
      <w:r w:rsidRPr="00B450E6">
        <w:t xml:space="preserve">1. </w:t>
      </w:r>
      <w:r>
        <w:t xml:space="preserve">Однако в данных работах используется линейная поляризация, когда в МР-сканере применяется круговая поляризация у поля </w:t>
      </w:r>
      <w:r>
        <w:rPr>
          <w:lang w:val="en-GB"/>
        </w:rPr>
        <w:t>B</w:t>
      </w:r>
      <w:r w:rsidRPr="00B450E6">
        <w:t>1</w:t>
      </w:r>
      <w:r>
        <w:t xml:space="preserve">. Поэтому в данной научной работе предлагается конструкция антенны и выпрямителей к ней, которая позволяет получать энергию из поля </w:t>
      </w:r>
      <w:r>
        <w:rPr>
          <w:lang w:val="en-GB"/>
        </w:rPr>
        <w:t>B</w:t>
      </w:r>
      <w:r w:rsidRPr="00B450E6">
        <w:t>1</w:t>
      </w:r>
      <w:r>
        <w:t xml:space="preserve"> круговой поляризации</w:t>
      </w:r>
      <w:r w:rsidR="00320FD2">
        <w:t xml:space="preserve">, которая достаточно компактна </w:t>
      </w:r>
      <w:r w:rsidR="00612FDD">
        <w:t xml:space="preserve">(размеры 11 см на 6 см на 4 см) </w:t>
      </w:r>
      <w:r w:rsidR="00320FD2">
        <w:t xml:space="preserve">и не искажает поле </w:t>
      </w:r>
      <w:r w:rsidR="00320FD2">
        <w:rPr>
          <w:lang w:val="en-GB"/>
        </w:rPr>
        <w:t>B</w:t>
      </w:r>
      <w:r w:rsidR="00320FD2" w:rsidRPr="00320FD2">
        <w:t>1</w:t>
      </w:r>
      <w:r>
        <w:t xml:space="preserve">. Антенна для приёма круговой поляризации позволит получать больше энергии, чем антенна для приёма одной линейной поляризации. </w:t>
      </w:r>
    </w:p>
    <w:p w14:paraId="19B31132" w14:textId="2E6669AC" w:rsidR="00963048" w:rsidRPr="00320FD2" w:rsidRDefault="00320FD2" w:rsidP="009F1343">
      <w:pPr>
        <w:ind w:firstLine="720"/>
        <w:jc w:val="both"/>
      </w:pPr>
      <w:r>
        <w:t>Оптимальной конструкцией антенны оказалась использование 2-ух катушек: рамки и седловидной. Для неё было проведено численное моделирование в программном пакете «</w:t>
      </w:r>
      <w:r>
        <w:rPr>
          <w:lang w:val="en-US"/>
        </w:rPr>
        <w:t>CST</w:t>
      </w:r>
      <w:r w:rsidRPr="009F7E4A">
        <w:t xml:space="preserve"> </w:t>
      </w:r>
      <w:r>
        <w:rPr>
          <w:lang w:val="en-US"/>
        </w:rPr>
        <w:t>Microwave</w:t>
      </w:r>
      <w:r w:rsidRPr="009F7E4A">
        <w:t xml:space="preserve"> </w:t>
      </w:r>
      <w:r>
        <w:rPr>
          <w:lang w:val="en-US"/>
        </w:rPr>
        <w:t>Studio</w:t>
      </w:r>
      <w:r>
        <w:t xml:space="preserve">», а также проведены эксперименты на популярных томографах </w:t>
      </w:r>
      <w:r>
        <w:rPr>
          <w:lang w:val="en-GB"/>
        </w:rPr>
        <w:t>Siemens</w:t>
      </w:r>
      <w:r w:rsidRPr="000E18AD">
        <w:t xml:space="preserve"> </w:t>
      </w:r>
      <w:proofErr w:type="spellStart"/>
      <w:r>
        <w:rPr>
          <w:lang w:val="en-GB"/>
        </w:rPr>
        <w:t>Avanto</w:t>
      </w:r>
      <w:proofErr w:type="spellEnd"/>
      <w:r w:rsidRPr="000E18AD">
        <w:t xml:space="preserve"> 1.5</w:t>
      </w:r>
      <w:r>
        <w:rPr>
          <w:lang w:val="en-GB"/>
        </w:rPr>
        <w:t>T</w:t>
      </w:r>
      <w:r w:rsidRPr="000E18AD">
        <w:t xml:space="preserve"> </w:t>
      </w:r>
      <w:r>
        <w:t xml:space="preserve">и </w:t>
      </w:r>
      <w:r>
        <w:rPr>
          <w:lang w:val="en-GB"/>
        </w:rPr>
        <w:t>Siemens</w:t>
      </w:r>
      <w:r w:rsidRPr="000E18AD">
        <w:t xml:space="preserve"> </w:t>
      </w:r>
      <w:proofErr w:type="spellStart"/>
      <w:r>
        <w:rPr>
          <w:lang w:val="en-GB"/>
        </w:rPr>
        <w:t>Espree</w:t>
      </w:r>
      <w:proofErr w:type="spellEnd"/>
      <w:r w:rsidRPr="000E18AD">
        <w:t xml:space="preserve"> 1.5</w:t>
      </w:r>
      <w:r>
        <w:rPr>
          <w:lang w:val="en-GB"/>
        </w:rPr>
        <w:t>T</w:t>
      </w:r>
      <w:r>
        <w:t>.</w:t>
      </w:r>
      <w:r>
        <w:t xml:space="preserve"> </w:t>
      </w:r>
    </w:p>
    <w:p w14:paraId="6DEE78D1" w14:textId="6FE86E1F" w:rsidR="00320FD2" w:rsidRPr="00612FDD" w:rsidRDefault="00612FDD" w:rsidP="000B77C0">
      <w:pPr>
        <w:ind w:firstLine="720"/>
        <w:jc w:val="both"/>
      </w:pPr>
      <w:r>
        <w:t xml:space="preserve">В ходе моделирования и экспериментов были получены следующие результаты. </w:t>
      </w:r>
      <w:r w:rsidR="00320FD2">
        <w:t xml:space="preserve">Данная приёмная антенна должна располагаться </w:t>
      </w:r>
      <w:r>
        <w:t xml:space="preserve">на расстоянии не менее 5-ти сантиметров от пациента, дабы не вносить искажения в поле </w:t>
      </w:r>
      <w:r>
        <w:rPr>
          <w:lang w:val="en-GB"/>
        </w:rPr>
        <w:t>B</w:t>
      </w:r>
      <w:r w:rsidRPr="00612FDD">
        <w:t>1</w:t>
      </w:r>
      <w:r w:rsidR="003E24E7">
        <w:t xml:space="preserve"> и быть достаточно безопасным для пациента</w:t>
      </w:r>
      <w:r>
        <w:t>. При исследовании зависимости положения приёмных антенн в МР-сканере было найдено, что существует оптимальное положение, где количество принятой энергии максимально и при котором качество изображения не страдает</w:t>
      </w:r>
      <w:r w:rsidR="003E24E7">
        <w:t xml:space="preserve">. Также в ходе </w:t>
      </w:r>
      <w:r w:rsidR="003E24E7">
        <w:lastRenderedPageBreak/>
        <w:t xml:space="preserve">экспериментов получено, что получаемая </w:t>
      </w:r>
      <w:proofErr w:type="gramStart"/>
      <w:r w:rsidR="003E24E7">
        <w:t>мощность  50</w:t>
      </w:r>
      <w:proofErr w:type="gramEnd"/>
      <w:r w:rsidR="003E24E7">
        <w:t xml:space="preserve"> - 400 мВт (зависит от типа импульсной последовательности в МР-сканере).</w:t>
      </w:r>
    </w:p>
    <w:p w14:paraId="11A7BDD9" w14:textId="4C962AE3" w:rsidR="00320FD2" w:rsidRDefault="003E24E7" w:rsidP="009C6A7A">
      <w:pPr>
        <w:ind w:firstLine="720"/>
        <w:jc w:val="both"/>
      </w:pPr>
      <w:r>
        <w:t xml:space="preserve">Увеличение числа приёмных антенн и/или размеров приёмной антенны позволяет увеличить данное значение. </w:t>
      </w:r>
      <w:r w:rsidR="009C6A7A">
        <w:t xml:space="preserve">Однако, принятой энергии достаточно для питания некоторых локальных катушек в МР-сканере. Например, локальных катушек с небольшим числом каналов. Совершенствование данной системы позволит питать локальные катушки с большим числом каналов. </w:t>
      </w:r>
    </w:p>
    <w:p w14:paraId="5309B82B" w14:textId="36EB1A18" w:rsidR="005871FB" w:rsidRDefault="005871FB" w:rsidP="001F23E4">
      <w:pPr>
        <w:jc w:val="both"/>
      </w:pPr>
    </w:p>
    <w:p w14:paraId="7454E7B4" w14:textId="63F04361" w:rsidR="005871FB" w:rsidRPr="00320FD2" w:rsidRDefault="00320FD2" w:rsidP="00320FD2">
      <w:pPr>
        <w:jc w:val="center"/>
        <w:rPr>
          <w:b/>
          <w:bCs/>
          <w:lang w:val="en-GB"/>
        </w:rPr>
      </w:pPr>
      <w:r w:rsidRPr="00320FD2">
        <w:rPr>
          <w:b/>
          <w:bCs/>
        </w:rPr>
        <w:t>Литература</w:t>
      </w:r>
    </w:p>
    <w:p w14:paraId="68E7EE56" w14:textId="77777777" w:rsidR="00320FD2" w:rsidRPr="00320FD2" w:rsidRDefault="00320FD2" w:rsidP="00320FD2">
      <w:pPr>
        <w:rPr>
          <w:rFonts w:eastAsia="Times New Roman"/>
          <w:lang w:val="en-GB" w:eastAsia="en-GB"/>
        </w:rPr>
      </w:pPr>
      <w:r w:rsidRPr="00320FD2">
        <w:rPr>
          <w:lang w:val="en-GB"/>
        </w:rPr>
        <w:t xml:space="preserve">1. </w:t>
      </w:r>
      <w:proofErr w:type="spellStart"/>
      <w:r w:rsidRPr="00320FD2">
        <w:rPr>
          <w:rFonts w:eastAsia="Times New Roman"/>
          <w:lang w:val="en-GB" w:eastAsia="en-GB"/>
        </w:rPr>
        <w:t>Nohava</w:t>
      </w:r>
      <w:proofErr w:type="spellEnd"/>
      <w:r w:rsidRPr="00320FD2">
        <w:rPr>
          <w:rFonts w:eastAsia="Times New Roman"/>
          <w:lang w:val="en-GB" w:eastAsia="en-GB"/>
        </w:rPr>
        <w:t xml:space="preserve">, L., </w:t>
      </w:r>
      <w:proofErr w:type="spellStart"/>
      <w:r w:rsidRPr="00320FD2">
        <w:rPr>
          <w:rFonts w:eastAsia="Times New Roman"/>
          <w:lang w:val="en-GB" w:eastAsia="en-GB"/>
        </w:rPr>
        <w:t>Ginefri</w:t>
      </w:r>
      <w:proofErr w:type="spellEnd"/>
      <w:r w:rsidRPr="00320FD2">
        <w:rPr>
          <w:rFonts w:eastAsia="Times New Roman"/>
          <w:lang w:val="en-GB" w:eastAsia="en-GB"/>
        </w:rPr>
        <w:t xml:space="preserve">, J.C., </w:t>
      </w:r>
      <w:proofErr w:type="spellStart"/>
      <w:r w:rsidRPr="00320FD2">
        <w:rPr>
          <w:rFonts w:eastAsia="Times New Roman"/>
          <w:lang w:val="en-GB" w:eastAsia="en-GB"/>
        </w:rPr>
        <w:t>Willoquet</w:t>
      </w:r>
      <w:proofErr w:type="spellEnd"/>
      <w:r w:rsidRPr="00320FD2">
        <w:rPr>
          <w:rFonts w:eastAsia="Times New Roman"/>
          <w:lang w:val="en-GB" w:eastAsia="en-GB"/>
        </w:rPr>
        <w:t xml:space="preserve">, G., </w:t>
      </w:r>
      <w:proofErr w:type="spellStart"/>
      <w:r w:rsidRPr="00320FD2">
        <w:rPr>
          <w:rFonts w:eastAsia="Times New Roman"/>
          <w:lang w:val="en-GB" w:eastAsia="en-GB"/>
        </w:rPr>
        <w:t>Laistler</w:t>
      </w:r>
      <w:proofErr w:type="spellEnd"/>
      <w:r w:rsidRPr="00320FD2">
        <w:rPr>
          <w:rFonts w:eastAsia="Times New Roman"/>
          <w:lang w:val="en-GB" w:eastAsia="en-GB"/>
        </w:rPr>
        <w:t>, E. and Frass-</w:t>
      </w:r>
      <w:proofErr w:type="spellStart"/>
      <w:r w:rsidRPr="00320FD2">
        <w:rPr>
          <w:rFonts w:eastAsia="Times New Roman"/>
          <w:lang w:val="en-GB" w:eastAsia="en-GB"/>
        </w:rPr>
        <w:t>Kriegl</w:t>
      </w:r>
      <w:proofErr w:type="spellEnd"/>
      <w:r w:rsidRPr="00320FD2">
        <w:rPr>
          <w:rFonts w:eastAsia="Times New Roman"/>
          <w:lang w:val="en-GB" w:eastAsia="en-GB"/>
        </w:rPr>
        <w:t xml:space="preserve">, R., 2020. Perspectives in wireless radio frequency coil development for magnetic resonance imaging. </w:t>
      </w:r>
      <w:r w:rsidRPr="00320FD2">
        <w:rPr>
          <w:rFonts w:eastAsia="Times New Roman"/>
          <w:i/>
          <w:iCs/>
          <w:lang w:val="en-GB" w:eastAsia="en-GB"/>
        </w:rPr>
        <w:t>Frontiers in Physics</w:t>
      </w:r>
      <w:r w:rsidRPr="00320FD2">
        <w:rPr>
          <w:rFonts w:eastAsia="Times New Roman"/>
          <w:lang w:val="en-GB" w:eastAsia="en-GB"/>
        </w:rPr>
        <w:t xml:space="preserve">, </w:t>
      </w:r>
      <w:r w:rsidRPr="00320FD2">
        <w:rPr>
          <w:rFonts w:eastAsia="Times New Roman"/>
          <w:i/>
          <w:iCs/>
          <w:lang w:val="en-GB" w:eastAsia="en-GB"/>
        </w:rPr>
        <w:t>8</w:t>
      </w:r>
      <w:r w:rsidRPr="00320FD2">
        <w:rPr>
          <w:rFonts w:eastAsia="Times New Roman"/>
          <w:lang w:val="en-GB" w:eastAsia="en-GB"/>
        </w:rPr>
        <w:t>, p.11.</w:t>
      </w:r>
    </w:p>
    <w:p w14:paraId="4277F38F" w14:textId="3FCE7EB8" w:rsidR="005871FB" w:rsidRDefault="005871FB" w:rsidP="001F23E4">
      <w:pPr>
        <w:jc w:val="both"/>
      </w:pPr>
    </w:p>
    <w:p w14:paraId="055299B8" w14:textId="00FC7F84" w:rsidR="00CE5C36" w:rsidRDefault="00320FD2" w:rsidP="00804526">
      <w:pPr>
        <w:jc w:val="both"/>
      </w:pPr>
      <w:r w:rsidRPr="00320FD2">
        <w:rPr>
          <w:lang w:val="en-GB"/>
        </w:rPr>
        <w:t xml:space="preserve">2. </w:t>
      </w:r>
      <w:proofErr w:type="spellStart"/>
      <w:r w:rsidRPr="00320FD2">
        <w:rPr>
          <w:lang w:val="en-GB"/>
        </w:rPr>
        <w:t>Venkateswaran</w:t>
      </w:r>
      <w:proofErr w:type="spellEnd"/>
      <w:r w:rsidRPr="00320FD2">
        <w:rPr>
          <w:lang w:val="en-GB"/>
        </w:rPr>
        <w:t xml:space="preserve">, M., </w:t>
      </w:r>
      <w:proofErr w:type="spellStart"/>
      <w:r w:rsidRPr="00320FD2">
        <w:rPr>
          <w:lang w:val="en-GB"/>
        </w:rPr>
        <w:t>Kurpad</w:t>
      </w:r>
      <w:proofErr w:type="spellEnd"/>
      <w:r w:rsidRPr="00320FD2">
        <w:rPr>
          <w:lang w:val="en-GB"/>
        </w:rPr>
        <w:t xml:space="preserve">, K., Brown, J.E., Fain, S. and van der </w:t>
      </w:r>
      <w:proofErr w:type="spellStart"/>
      <w:r w:rsidRPr="00320FD2">
        <w:rPr>
          <w:lang w:val="en-GB"/>
        </w:rPr>
        <w:t>Weide</w:t>
      </w:r>
      <w:proofErr w:type="spellEnd"/>
      <w:r w:rsidRPr="00320FD2">
        <w:rPr>
          <w:lang w:val="en-GB"/>
        </w:rPr>
        <w:t xml:space="preserve">, D., 2020, July. Wireless Power Harvesting During MRI. In </w:t>
      </w:r>
      <w:r w:rsidRPr="00320FD2">
        <w:rPr>
          <w:i/>
          <w:iCs/>
          <w:lang w:val="en-GB"/>
        </w:rPr>
        <w:t>2020 42nd Annual International Conference of the IEEE Engineering in Medicine &amp; Biology Society (EMBC)</w:t>
      </w:r>
      <w:r w:rsidRPr="00320FD2">
        <w:rPr>
          <w:lang w:val="en-GB"/>
        </w:rPr>
        <w:t xml:space="preserve"> (pp. 1469-1472). </w:t>
      </w:r>
      <w:r>
        <w:t>IEEE.</w:t>
      </w:r>
    </w:p>
    <w:p w14:paraId="437A8420" w14:textId="4E2B8EE6" w:rsidR="00CE5C36" w:rsidRPr="00CE5C36" w:rsidRDefault="00CE5C36" w:rsidP="00CE5C36">
      <w:pPr>
        <w:tabs>
          <w:tab w:val="left" w:pos="3060"/>
        </w:tabs>
      </w:pPr>
      <w:r>
        <w:tab/>
      </w:r>
    </w:p>
    <w:sectPr w:rsidR="00CE5C36" w:rsidRPr="00CE5C36" w:rsidSect="001F23E4">
      <w:footerReference w:type="default" r:id="rId8"/>
      <w:pgSz w:w="11906" w:h="16838"/>
      <w:pgMar w:top="1134" w:right="1361" w:bottom="1259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496A51" w14:textId="77777777" w:rsidR="00211579" w:rsidRDefault="00211579" w:rsidP="001F23E4">
      <w:r>
        <w:separator/>
      </w:r>
    </w:p>
  </w:endnote>
  <w:endnote w:type="continuationSeparator" w:id="0">
    <w:p w14:paraId="68F02448" w14:textId="77777777" w:rsidR="00211579" w:rsidRDefault="00211579" w:rsidP="001F2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212953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69CAAF" w14:textId="5F0DE652" w:rsidR="001F23E4" w:rsidRDefault="001F23E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D3904F5" w14:textId="77777777" w:rsidR="001F23E4" w:rsidRDefault="001F23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120BCF" w14:textId="77777777" w:rsidR="00211579" w:rsidRDefault="00211579" w:rsidP="001F23E4">
      <w:r>
        <w:separator/>
      </w:r>
    </w:p>
  </w:footnote>
  <w:footnote w:type="continuationSeparator" w:id="0">
    <w:p w14:paraId="61306B9D" w14:textId="77777777" w:rsidR="00211579" w:rsidRDefault="00211579" w:rsidP="001F23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42D"/>
    <w:rsid w:val="000B77C0"/>
    <w:rsid w:val="0012197B"/>
    <w:rsid w:val="001F23E4"/>
    <w:rsid w:val="00211579"/>
    <w:rsid w:val="002D756C"/>
    <w:rsid w:val="00320FD2"/>
    <w:rsid w:val="003E24E7"/>
    <w:rsid w:val="00417A8F"/>
    <w:rsid w:val="005871FB"/>
    <w:rsid w:val="00612FDD"/>
    <w:rsid w:val="00804526"/>
    <w:rsid w:val="0082442D"/>
    <w:rsid w:val="008B3BAF"/>
    <w:rsid w:val="00963048"/>
    <w:rsid w:val="009C6A7A"/>
    <w:rsid w:val="009F1343"/>
    <w:rsid w:val="00B450E6"/>
    <w:rsid w:val="00B73C9A"/>
    <w:rsid w:val="00CC2C44"/>
    <w:rsid w:val="00CE5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299EB"/>
  <w15:chartTrackingRefBased/>
  <w15:docId w15:val="{DC55109A-2CDD-4DD1-8BA0-F180BFE29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A8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аголовок статьи"/>
    <w:basedOn w:val="Normal"/>
    <w:qFormat/>
    <w:rsid w:val="00417A8F"/>
    <w:pPr>
      <w:jc w:val="center"/>
    </w:pPr>
    <w:rPr>
      <w:b/>
      <w:caps/>
    </w:rPr>
  </w:style>
  <w:style w:type="paragraph" w:customStyle="1" w:styleId="a0">
    <w:name w:val="УДК"/>
    <w:basedOn w:val="a"/>
    <w:next w:val="a"/>
    <w:qFormat/>
    <w:rsid w:val="00417A8F"/>
    <w:pPr>
      <w:jc w:val="left"/>
    </w:pPr>
    <w:rPr>
      <w:b w:val="0"/>
    </w:rPr>
  </w:style>
  <w:style w:type="paragraph" w:customStyle="1" w:styleId="a1">
    <w:name w:val="Авторы"/>
    <w:basedOn w:val="a"/>
    <w:next w:val="a2"/>
    <w:qFormat/>
    <w:rsid w:val="00417A8F"/>
    <w:rPr>
      <w:caps w:val="0"/>
    </w:rPr>
  </w:style>
  <w:style w:type="paragraph" w:customStyle="1" w:styleId="a2">
    <w:name w:val="Научный руководитель"/>
    <w:basedOn w:val="a1"/>
    <w:qFormat/>
    <w:rsid w:val="00417A8F"/>
  </w:style>
  <w:style w:type="paragraph" w:customStyle="1" w:styleId="a3">
    <w:name w:val="Пустая строка"/>
    <w:basedOn w:val="Normal"/>
    <w:qFormat/>
    <w:rsid w:val="00417A8F"/>
    <w:pPr>
      <w:jc w:val="center"/>
    </w:pPr>
  </w:style>
  <w:style w:type="paragraph" w:customStyle="1" w:styleId="a4">
    <w:name w:val="Аннотация"/>
    <w:basedOn w:val="a3"/>
    <w:qFormat/>
    <w:rsid w:val="00417A8F"/>
    <w:pPr>
      <w:jc w:val="both"/>
    </w:pPr>
    <w:rPr>
      <w:sz w:val="22"/>
    </w:rPr>
  </w:style>
  <w:style w:type="character" w:styleId="Hyperlink">
    <w:name w:val="Hyperlink"/>
    <w:basedOn w:val="DefaultParagraphFont"/>
    <w:uiPriority w:val="99"/>
    <w:unhideWhenUsed/>
    <w:rsid w:val="001F23E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23E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F23E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23E4"/>
    <w:rPr>
      <w:rFonts w:ascii="Times New Roman" w:eastAsia="Calibri" w:hAnsi="Times New Roman" w:cs="Times New Roman"/>
      <w:sz w:val="24"/>
      <w:szCs w:val="24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1F23E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23E4"/>
    <w:rPr>
      <w:rFonts w:ascii="Times New Roman" w:eastAsia="Calibri" w:hAnsi="Times New Roman" w:cs="Times New Roman"/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320F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760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93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b_an602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FE692B-845B-4CC5-AB8E-FECBEAB37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572</Words>
  <Characters>3858</Characters>
  <Application>Microsoft Office Word</Application>
  <DocSecurity>0</DocSecurity>
  <Lines>68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Бурмистров Олег Ильич</dc:creator>
  <cp:keywords/>
  <dc:description/>
  <cp:lastModifiedBy>Бурмистров Олег Ильич</cp:lastModifiedBy>
  <cp:revision>8</cp:revision>
  <dcterms:created xsi:type="dcterms:W3CDTF">2021-01-14T14:17:00Z</dcterms:created>
  <dcterms:modified xsi:type="dcterms:W3CDTF">2021-03-03T19:18:00Z</dcterms:modified>
</cp:coreProperties>
</file>