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37E" w:rsidRPr="0030337E" w:rsidRDefault="0030337E" w:rsidP="0077395C">
      <w:pPr>
        <w:spacing w:line="240" w:lineRule="auto"/>
        <w:jc w:val="center"/>
        <w:rPr>
          <w:sz w:val="24"/>
        </w:rPr>
      </w:pPr>
      <w:r w:rsidRPr="0030337E">
        <w:rPr>
          <w:sz w:val="24"/>
        </w:rPr>
        <w:t>МАТЕМАТИЧЕСКАЯ МОДЕЛЬ КОМБИНИРОВАННОЙ СИСТЕМЫ ОХЛАЖДЕНИЯ НА ОСНОВЕ ТЕРМОЭЛЕКТРИЧЕСКОГО ОХЛАЖДАЮЩЕГО МОДУ</w:t>
      </w:r>
      <w:r w:rsidR="00331295">
        <w:rPr>
          <w:sz w:val="24"/>
        </w:rPr>
        <w:t>ЛЯ И УЛЬТРАЗВУКОВОГО ИЗЛУЧАТЕЛЯ</w:t>
      </w:r>
    </w:p>
    <w:p w:rsidR="0030337E" w:rsidRDefault="0030337E" w:rsidP="0077395C">
      <w:pPr>
        <w:spacing w:line="240" w:lineRule="auto"/>
        <w:jc w:val="center"/>
      </w:pPr>
    </w:p>
    <w:p w:rsidR="00AB0912" w:rsidRPr="0030337E" w:rsidRDefault="00504D18" w:rsidP="0077395C">
      <w:pPr>
        <w:spacing w:line="240" w:lineRule="auto"/>
        <w:jc w:val="center"/>
        <w:rPr>
          <w:sz w:val="22"/>
          <w:szCs w:val="24"/>
        </w:rPr>
      </w:pPr>
      <w:r w:rsidRPr="0030337E">
        <w:rPr>
          <w:sz w:val="24"/>
        </w:rPr>
        <w:t>Магомедов Т.Ю.</w:t>
      </w:r>
      <w:r w:rsidR="002E6D28" w:rsidRPr="0030337E">
        <w:rPr>
          <w:sz w:val="22"/>
          <w:szCs w:val="24"/>
        </w:rPr>
        <w:t xml:space="preserve">  </w:t>
      </w:r>
      <w:r w:rsidR="002E6D28" w:rsidRPr="0030337E">
        <w:rPr>
          <w:rFonts w:eastAsia="Times New Roman" w:cs="Times New Roman"/>
          <w:color w:val="000000" w:themeColor="text1"/>
          <w:sz w:val="22"/>
          <w:szCs w:val="24"/>
          <w:lang w:eastAsia="ru-RU"/>
        </w:rPr>
        <w:t xml:space="preserve"> </w:t>
      </w:r>
    </w:p>
    <w:p w:rsidR="00AB0912" w:rsidRPr="00CF27A3" w:rsidRDefault="00AB0912" w:rsidP="0077395C">
      <w:pPr>
        <w:spacing w:line="240" w:lineRule="auto"/>
        <w:jc w:val="center"/>
        <w:rPr>
          <w:sz w:val="24"/>
          <w:szCs w:val="24"/>
        </w:rPr>
      </w:pPr>
      <w:r w:rsidRPr="00CF27A3">
        <w:rPr>
          <w:sz w:val="24"/>
          <w:szCs w:val="24"/>
        </w:rPr>
        <w:t xml:space="preserve">ФГБОУ </w:t>
      </w:r>
      <w:proofErr w:type="gramStart"/>
      <w:r w:rsidRPr="00CF27A3">
        <w:rPr>
          <w:sz w:val="24"/>
          <w:szCs w:val="24"/>
        </w:rPr>
        <w:t>ВО</w:t>
      </w:r>
      <w:proofErr w:type="gramEnd"/>
      <w:r w:rsidRPr="00CF27A3">
        <w:rPr>
          <w:sz w:val="24"/>
          <w:szCs w:val="24"/>
        </w:rPr>
        <w:t xml:space="preserve"> «Дагестанский государственный технический университет»</w:t>
      </w:r>
    </w:p>
    <w:p w:rsidR="00AB0912" w:rsidRPr="00CF27A3" w:rsidRDefault="00AB0912" w:rsidP="0077395C">
      <w:pPr>
        <w:spacing w:line="240" w:lineRule="auto"/>
        <w:jc w:val="center"/>
        <w:rPr>
          <w:sz w:val="24"/>
          <w:szCs w:val="24"/>
        </w:rPr>
      </w:pPr>
      <w:r w:rsidRPr="00CF27A3">
        <w:rPr>
          <w:sz w:val="24"/>
          <w:szCs w:val="24"/>
        </w:rPr>
        <w:t>Кафедра «Теоретическая и общая электротехника»</w:t>
      </w:r>
    </w:p>
    <w:p w:rsidR="00AB0912" w:rsidRPr="00006B6E" w:rsidRDefault="00AB0912" w:rsidP="0077395C">
      <w:pPr>
        <w:spacing w:line="240" w:lineRule="auto"/>
        <w:jc w:val="center"/>
        <w:rPr>
          <w:sz w:val="24"/>
          <w:szCs w:val="24"/>
        </w:rPr>
      </w:pPr>
    </w:p>
    <w:p w:rsidR="007F4A8C" w:rsidRDefault="00DA2116" w:rsidP="00DA2116">
      <w:pPr>
        <w:spacing w:line="240" w:lineRule="auto"/>
        <w:ind w:firstLine="567"/>
        <w:jc w:val="both"/>
        <w:rPr>
          <w:sz w:val="24"/>
          <w:szCs w:val="24"/>
        </w:rPr>
      </w:pPr>
      <w:r>
        <w:rPr>
          <w:sz w:val="24"/>
          <w:szCs w:val="24"/>
        </w:rPr>
        <w:t xml:space="preserve">Разработано </w:t>
      </w:r>
      <w:r w:rsidRPr="00DA2116">
        <w:rPr>
          <w:sz w:val="24"/>
          <w:szCs w:val="24"/>
        </w:rPr>
        <w:t>устройств</w:t>
      </w:r>
      <w:r>
        <w:rPr>
          <w:sz w:val="24"/>
          <w:szCs w:val="24"/>
        </w:rPr>
        <w:t>о</w:t>
      </w:r>
      <w:r w:rsidRPr="00DA2116">
        <w:rPr>
          <w:sz w:val="24"/>
          <w:szCs w:val="24"/>
        </w:rPr>
        <w:t xml:space="preserve"> для охлаждения радиоэлектронной аппаратуры, содержащем замкнутый охлаждающий контур, работающем на фазовом переходе теплоносителя</w:t>
      </w:r>
      <w:r>
        <w:rPr>
          <w:sz w:val="24"/>
          <w:szCs w:val="24"/>
        </w:rPr>
        <w:t xml:space="preserve"> (вода)</w:t>
      </w:r>
      <w:r w:rsidRPr="00DA2116">
        <w:rPr>
          <w:sz w:val="24"/>
          <w:szCs w:val="24"/>
        </w:rPr>
        <w:t xml:space="preserve">, из жидкого состояния в </w:t>
      </w:r>
      <w:proofErr w:type="gramStart"/>
      <w:r w:rsidRPr="00DA2116">
        <w:rPr>
          <w:sz w:val="24"/>
          <w:szCs w:val="24"/>
        </w:rPr>
        <w:t>газообразную</w:t>
      </w:r>
      <w:proofErr w:type="gramEnd"/>
      <w:r w:rsidRPr="00DA2116">
        <w:rPr>
          <w:sz w:val="24"/>
          <w:szCs w:val="24"/>
        </w:rPr>
        <w:t xml:space="preserve"> с помощью ультразвукового излучателя</w:t>
      </w:r>
      <w:r>
        <w:rPr>
          <w:sz w:val="24"/>
          <w:szCs w:val="24"/>
        </w:rPr>
        <w:t>,</w:t>
      </w:r>
      <w:r w:rsidRPr="00DA2116">
        <w:rPr>
          <w:sz w:val="24"/>
          <w:szCs w:val="24"/>
        </w:rPr>
        <w:t xml:space="preserve"> тепловыделяющего элемента</w:t>
      </w:r>
      <w:r>
        <w:rPr>
          <w:sz w:val="24"/>
          <w:szCs w:val="24"/>
        </w:rPr>
        <w:t xml:space="preserve"> и </w:t>
      </w:r>
      <w:bookmarkStart w:id="0" w:name="_GoBack"/>
      <w:bookmarkEnd w:id="0"/>
      <w:r>
        <w:rPr>
          <w:sz w:val="24"/>
          <w:szCs w:val="24"/>
        </w:rPr>
        <w:t xml:space="preserve">термоэлектрического модуля, для регулирования температуры охлаждающего контура. Данная конструктивная реализация позволяет существенно сократить тепловое сопротивление между источником тепловыделений (мощный дискретный полупроводниковый элемент) и окружающей средой, а использование термоэлектрического модуля обеспечивает гибкое регулирование процесса теплообмена, обеспечивая тем самым </w:t>
      </w:r>
      <w:proofErr w:type="spellStart"/>
      <w:r>
        <w:rPr>
          <w:sz w:val="24"/>
          <w:szCs w:val="24"/>
        </w:rPr>
        <w:t>термостабилизацию</w:t>
      </w:r>
      <w:proofErr w:type="spellEnd"/>
      <w:r w:rsidR="00C273EA">
        <w:rPr>
          <w:sz w:val="24"/>
          <w:szCs w:val="24"/>
        </w:rPr>
        <w:t xml:space="preserve"> </w:t>
      </w:r>
      <w:r w:rsidR="00C273EA" w:rsidRPr="00BB2DEE">
        <w:rPr>
          <w:sz w:val="24"/>
          <w:szCs w:val="24"/>
        </w:rPr>
        <w:t>[1]</w:t>
      </w:r>
      <w:r>
        <w:rPr>
          <w:sz w:val="24"/>
          <w:szCs w:val="24"/>
        </w:rPr>
        <w:t xml:space="preserve">. </w:t>
      </w:r>
    </w:p>
    <w:p w:rsidR="00DA2116" w:rsidRPr="00C0766A" w:rsidRDefault="00DA2116" w:rsidP="00C0766A">
      <w:pPr>
        <w:spacing w:line="240" w:lineRule="auto"/>
        <w:ind w:firstLine="567"/>
        <w:jc w:val="both"/>
        <w:rPr>
          <w:rFonts w:cs="Times New Roman"/>
          <w:sz w:val="24"/>
          <w:szCs w:val="24"/>
        </w:rPr>
      </w:pPr>
      <w:r w:rsidRPr="00DA2116">
        <w:rPr>
          <w:sz w:val="24"/>
          <w:szCs w:val="24"/>
        </w:rPr>
        <w:t>Основными преимуществами ультразвукового распыления жидкост</w:t>
      </w:r>
      <w:r>
        <w:rPr>
          <w:sz w:val="24"/>
          <w:szCs w:val="24"/>
        </w:rPr>
        <w:t>и в системе</w:t>
      </w:r>
      <w:r w:rsidRPr="00DA2116">
        <w:rPr>
          <w:sz w:val="24"/>
          <w:szCs w:val="24"/>
        </w:rPr>
        <w:t xml:space="preserve"> являются</w:t>
      </w:r>
      <w:r>
        <w:rPr>
          <w:sz w:val="24"/>
          <w:szCs w:val="24"/>
        </w:rPr>
        <w:t xml:space="preserve"> </w:t>
      </w:r>
      <w:r w:rsidRPr="00DA2116">
        <w:rPr>
          <w:sz w:val="24"/>
          <w:szCs w:val="24"/>
        </w:rPr>
        <w:t>низкая энергоемкость</w:t>
      </w:r>
      <w:r>
        <w:rPr>
          <w:sz w:val="24"/>
          <w:szCs w:val="24"/>
        </w:rPr>
        <w:t xml:space="preserve">, </w:t>
      </w:r>
      <w:r w:rsidRPr="00DA2116">
        <w:rPr>
          <w:sz w:val="24"/>
          <w:szCs w:val="24"/>
        </w:rPr>
        <w:t>высокая производительность процесса</w:t>
      </w:r>
      <w:r>
        <w:rPr>
          <w:sz w:val="24"/>
          <w:szCs w:val="24"/>
        </w:rPr>
        <w:t xml:space="preserve">, </w:t>
      </w:r>
      <w:r w:rsidRPr="00DA2116">
        <w:rPr>
          <w:sz w:val="24"/>
          <w:szCs w:val="24"/>
        </w:rPr>
        <w:t xml:space="preserve">возможность получать мелкодисперсное </w:t>
      </w:r>
      <w:r>
        <w:rPr>
          <w:sz w:val="24"/>
          <w:szCs w:val="24"/>
        </w:rPr>
        <w:t xml:space="preserve">и монодисперсное </w:t>
      </w:r>
      <w:r w:rsidRPr="00DA2116">
        <w:rPr>
          <w:sz w:val="24"/>
          <w:szCs w:val="24"/>
        </w:rPr>
        <w:t>распыление</w:t>
      </w:r>
      <w:r>
        <w:rPr>
          <w:sz w:val="24"/>
          <w:szCs w:val="24"/>
        </w:rPr>
        <w:t xml:space="preserve">, </w:t>
      </w:r>
      <w:r w:rsidRPr="00DA2116">
        <w:rPr>
          <w:sz w:val="24"/>
          <w:szCs w:val="24"/>
        </w:rPr>
        <w:t xml:space="preserve">наличие в каплях жидкости циркуляционных токов, способствующих ускорению процессов теплообмена, массопереноса </w:t>
      </w:r>
      <w:r w:rsidRPr="00C0766A">
        <w:rPr>
          <w:rFonts w:cs="Times New Roman"/>
          <w:sz w:val="24"/>
          <w:szCs w:val="24"/>
        </w:rPr>
        <w:t>и других на поверхности капли.</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Для количественной оценки эффективности параметров факела распыла, получаемого при помощи указанных способов распыления жидкостей, введены следующие характеристики, общие для всех способов распыления</w:t>
      </w:r>
      <w:r>
        <w:rPr>
          <w:rFonts w:cs="Times New Roman"/>
          <w:sz w:val="24"/>
          <w:szCs w:val="24"/>
        </w:rPr>
        <w:t xml:space="preserve"> </w:t>
      </w:r>
      <w:r w:rsidRPr="00C0766A">
        <w:rPr>
          <w:rFonts w:cs="Times New Roman"/>
          <w:sz w:val="24"/>
          <w:szCs w:val="24"/>
        </w:rPr>
        <w:t>[</w:t>
      </w:r>
      <w:r w:rsidR="00C273EA" w:rsidRPr="00C273EA">
        <w:rPr>
          <w:rFonts w:cs="Times New Roman"/>
          <w:sz w:val="24"/>
          <w:szCs w:val="24"/>
        </w:rPr>
        <w:t>2</w:t>
      </w:r>
      <w:r w:rsidRPr="00C0766A">
        <w:rPr>
          <w:rFonts w:cs="Times New Roman"/>
          <w:sz w:val="24"/>
          <w:szCs w:val="24"/>
        </w:rPr>
        <w:t>].</w:t>
      </w:r>
    </w:p>
    <w:p w:rsidR="00C0766A" w:rsidRPr="00C0766A" w:rsidRDefault="00C0766A" w:rsidP="00C0766A">
      <w:pPr>
        <w:spacing w:line="240" w:lineRule="auto"/>
        <w:ind w:firstLine="709"/>
        <w:jc w:val="both"/>
        <w:rPr>
          <w:rFonts w:cs="Times New Roman"/>
          <w:sz w:val="24"/>
          <w:szCs w:val="24"/>
        </w:rPr>
      </w:pPr>
      <w:proofErr w:type="gramStart"/>
      <w:r w:rsidRPr="00C0766A">
        <w:rPr>
          <w:rFonts w:cs="Times New Roman"/>
          <w:sz w:val="24"/>
          <w:szCs w:val="24"/>
        </w:rPr>
        <w:t>Дисперсные</w:t>
      </w:r>
      <w:proofErr w:type="gramEnd"/>
      <w:r w:rsidRPr="00C0766A">
        <w:rPr>
          <w:rFonts w:cs="Times New Roman"/>
          <w:sz w:val="24"/>
          <w:szCs w:val="24"/>
        </w:rPr>
        <w:t>, определяющие факел как некоторую совокупность частиц различных размеров. Они включают: дифференциальные (частотные) и интегральные (суммарные) кривые распределения числа (поверхности, массы) капель по диаметрам; удельную поверхность капель; средний диаметр капель; удельную поверхность капель и иногда критерий гомогенности, показывающий степень однородности распыла.</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Абсцисса максимума на частотной кривой (или точек перегиба на суммарных кривых) представляет собой диаметр наиболее часто встречающихся капель. Этот диаметр называется модой. Диаметр, который делит количество частиц под суммарной кривой пополам, принято называть медианным.</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Другие средние диаметры, характеризующие распыл можно представить общей формулой:</w:t>
      </w:r>
    </w:p>
    <w:p w:rsidR="00C0766A" w:rsidRPr="00C0766A" w:rsidRDefault="005F4042" w:rsidP="00C0766A">
      <w:pPr>
        <w:spacing w:line="240" w:lineRule="auto"/>
        <w:ind w:firstLine="709"/>
        <w:jc w:val="right"/>
        <w:rPr>
          <w:rFonts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lang w:val="en-US"/>
              </w:rPr>
              <m:t>d</m:t>
            </m:r>
          </m:e>
          <m:sub>
            <m:r>
              <w:rPr>
                <w:rFonts w:ascii="Cambria Math" w:hAnsi="Cambria Math" w:cs="Times New Roman"/>
                <w:sz w:val="24"/>
                <w:szCs w:val="24"/>
              </w:rPr>
              <m:t>f.k</m:t>
            </m:r>
          </m:sub>
        </m:sSub>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nary>
                      <m:naryPr>
                        <m:chr m:val="∑"/>
                        <m:limLoc m:val="undOvr"/>
                        <m:subHide m:val="on"/>
                        <m:supHide m:val="on"/>
                        <m:ctrlPr>
                          <w:rPr>
                            <w:rFonts w:ascii="Cambria Math" w:hAnsi="Cambria Math" w:cs="Times New Roman"/>
                            <w:i/>
                            <w:sz w:val="24"/>
                            <w:szCs w:val="24"/>
                          </w:rPr>
                        </m:ctrlPr>
                      </m:naryPr>
                      <m:sub/>
                      <m:sup/>
                      <m:e>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i</m:t>
                            </m:r>
                          </m:sub>
                          <m:sup>
                            <m:r>
                              <w:rPr>
                                <w:rFonts w:ascii="Cambria Math" w:hAnsi="Cambria Math" w:cs="Times New Roman"/>
                                <w:sz w:val="24"/>
                                <w:szCs w:val="24"/>
                              </w:rPr>
                              <m:t>f</m:t>
                            </m:r>
                          </m:sup>
                        </m:sSub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i</m:t>
                            </m:r>
                          </m:sub>
                        </m:sSub>
                      </m:e>
                    </m:nary>
                  </m:num>
                  <m:den>
                    <m:nary>
                      <m:naryPr>
                        <m:chr m:val="∑"/>
                        <m:limLoc m:val="undOvr"/>
                        <m:subHide m:val="on"/>
                        <m:supHide m:val="on"/>
                        <m:ctrlPr>
                          <w:rPr>
                            <w:rFonts w:ascii="Cambria Math" w:hAnsi="Cambria Math" w:cs="Times New Roman"/>
                            <w:i/>
                            <w:sz w:val="24"/>
                            <w:szCs w:val="24"/>
                          </w:rPr>
                        </m:ctrlPr>
                      </m:naryPr>
                      <m:sub/>
                      <m:sup/>
                      <m:e>
                        <m:sSubSup>
                          <m:sSubSupPr>
                            <m:ctrlPr>
                              <w:rPr>
                                <w:rFonts w:ascii="Cambria Math"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i</m:t>
                            </m:r>
                          </m:sub>
                          <m:sup>
                            <m:r>
                              <w:rPr>
                                <w:rFonts w:ascii="Cambria Math" w:hAnsi="Cambria Math" w:cs="Times New Roman"/>
                                <w:sz w:val="24"/>
                                <w:szCs w:val="24"/>
                              </w:rPr>
                              <m:t>k</m:t>
                            </m:r>
                          </m:sup>
                        </m:sSub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i</m:t>
                            </m:r>
                          </m:sub>
                        </m:sSub>
                      </m:e>
                    </m:nary>
                  </m:den>
                </m:f>
              </m:e>
            </m:d>
          </m:e>
          <m:sup>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f-k</m:t>
                </m:r>
              </m:den>
            </m:f>
          </m:sup>
        </m:sSup>
      </m:oMath>
      <w:r w:rsidR="00C0766A" w:rsidRPr="00C0766A">
        <w:rPr>
          <w:rFonts w:cs="Times New Roman"/>
          <w:sz w:val="24"/>
          <w:szCs w:val="24"/>
        </w:rPr>
        <w:t xml:space="preserve"> ,                                              (1)</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 xml:space="preserve">где </w:t>
      </w:r>
      <m:oMath>
        <m:r>
          <w:rPr>
            <w:rFonts w:ascii="Cambria Math" w:hAnsi="Cambria Math" w:cs="Times New Roman"/>
            <w:sz w:val="24"/>
            <w:szCs w:val="24"/>
          </w:rPr>
          <m:t>f</m:t>
        </m:r>
        <w:proofErr w:type="gramStart"/>
        <m:r>
          <w:rPr>
            <w:rFonts w:ascii="Cambria Math" w:hAnsi="Cambria Math" w:cs="Times New Roman"/>
            <w:sz w:val="24"/>
            <w:szCs w:val="24"/>
          </w:rPr>
          <m:t xml:space="preserve"> ,</m:t>
        </m:r>
        <w:proofErr w:type="gramEnd"/>
        <m:r>
          <w:rPr>
            <w:rFonts w:ascii="Cambria Math" w:hAnsi="Cambria Math" w:cs="Times New Roman"/>
            <w:sz w:val="24"/>
            <w:szCs w:val="24"/>
          </w:rPr>
          <m:t xml:space="preserve"> k</m:t>
        </m:r>
      </m:oMath>
      <w:r w:rsidRPr="00C0766A">
        <w:rPr>
          <w:rFonts w:cs="Times New Roman"/>
          <w:sz w:val="24"/>
          <w:szCs w:val="24"/>
        </w:rPr>
        <w:t xml:space="preserve"> – целые числа, зависящие от способа осреднения;</w:t>
      </w:r>
    </w:p>
    <w:p w:rsidR="00C0766A" w:rsidRPr="00C0766A" w:rsidRDefault="00C0766A" w:rsidP="00C0766A">
      <w:pPr>
        <w:spacing w:line="240" w:lineRule="auto"/>
        <w:ind w:firstLine="709"/>
        <w:jc w:val="both"/>
        <w:rPr>
          <w:rFonts w:cs="Times New Roman"/>
          <w:sz w:val="24"/>
          <w:szCs w:val="24"/>
        </w:rPr>
      </w:pPr>
      <m:oMath>
        <m:r>
          <w:rPr>
            <w:rFonts w:ascii="Cambria Math" w:hAnsi="Cambria Math" w:cs="Times New Roman"/>
            <w:sz w:val="24"/>
            <w:szCs w:val="24"/>
          </w:rPr>
          <m:t xml:space="preserve">i </m:t>
        </m:r>
      </m:oMath>
      <w:r w:rsidRPr="00C0766A">
        <w:rPr>
          <w:rFonts w:cs="Times New Roman"/>
          <w:sz w:val="24"/>
          <w:szCs w:val="24"/>
        </w:rPr>
        <w:t>– номер фракции, на которые разбита совокупность капель;</w:t>
      </w:r>
    </w:p>
    <w:p w:rsidR="00C0766A" w:rsidRPr="00C0766A" w:rsidRDefault="005F4042" w:rsidP="00C0766A">
      <w:pPr>
        <w:spacing w:line="240" w:lineRule="auto"/>
        <w:ind w:firstLine="709"/>
        <w:jc w:val="both"/>
        <w:rPr>
          <w:rFonts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d</m:t>
            </m:r>
          </m:sub>
        </m:sSub>
        <m:r>
          <w:rPr>
            <w:rFonts w:ascii="Cambria Math" w:hAnsi="Cambria Math" w:cs="Times New Roman"/>
            <w:sz w:val="24"/>
            <w:szCs w:val="24"/>
          </w:rPr>
          <m:t xml:space="preserve"> </m:t>
        </m:r>
      </m:oMath>
      <w:r w:rsidR="00C0766A" w:rsidRPr="00C0766A">
        <w:rPr>
          <w:rFonts w:cs="Times New Roman"/>
          <w:sz w:val="24"/>
          <w:szCs w:val="24"/>
        </w:rPr>
        <w:t xml:space="preserve"> – средней диаметр </w:t>
      </w:r>
      <m:oMath>
        <m:r>
          <w:rPr>
            <w:rFonts w:ascii="Cambria Math" w:hAnsi="Cambria Math" w:cs="Times New Roman"/>
            <w:sz w:val="24"/>
            <w:szCs w:val="24"/>
          </w:rPr>
          <m:t>i</m:t>
        </m:r>
      </m:oMath>
      <w:r w:rsidR="00C0766A" w:rsidRPr="00C0766A">
        <w:rPr>
          <w:rFonts w:cs="Times New Roman"/>
          <w:sz w:val="24"/>
          <w:szCs w:val="24"/>
        </w:rPr>
        <w:t xml:space="preserve"> </w:t>
      </w:r>
      <w:proofErr w:type="gramStart"/>
      <w:r w:rsidR="00C0766A" w:rsidRPr="00C0766A">
        <w:rPr>
          <w:rFonts w:cs="Times New Roman"/>
          <w:sz w:val="24"/>
          <w:szCs w:val="24"/>
        </w:rPr>
        <w:t>-й</w:t>
      </w:r>
      <w:proofErr w:type="gramEnd"/>
      <w:r w:rsidR="00C0766A" w:rsidRPr="00C0766A">
        <w:rPr>
          <w:rFonts w:cs="Times New Roman"/>
          <w:sz w:val="24"/>
          <w:szCs w:val="24"/>
        </w:rPr>
        <w:t xml:space="preserve"> фракции;</w:t>
      </w:r>
    </w:p>
    <w:p w:rsidR="00C0766A" w:rsidRPr="00C0766A" w:rsidRDefault="005F4042" w:rsidP="00C0766A">
      <w:pPr>
        <w:spacing w:line="240" w:lineRule="auto"/>
        <w:ind w:firstLine="709"/>
        <w:jc w:val="both"/>
        <w:rPr>
          <w:rFonts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 xml:space="preserve">n </m:t>
            </m:r>
          </m:e>
          <m:sub>
            <m:r>
              <w:rPr>
                <w:rFonts w:ascii="Cambria Math" w:hAnsi="Cambria Math" w:cs="Times New Roman"/>
                <w:sz w:val="24"/>
                <w:szCs w:val="24"/>
              </w:rPr>
              <m:t>i</m:t>
            </m:r>
          </m:sub>
        </m:sSub>
      </m:oMath>
      <w:r w:rsidR="00C0766A" w:rsidRPr="00C0766A">
        <w:rPr>
          <w:rFonts w:cs="Times New Roman"/>
          <w:sz w:val="24"/>
          <w:szCs w:val="24"/>
        </w:rPr>
        <w:t xml:space="preserve"> – число капель </w:t>
      </w:r>
      <m:oMath>
        <m:r>
          <w:rPr>
            <w:rFonts w:ascii="Cambria Math" w:hAnsi="Cambria Math" w:cs="Times New Roman"/>
            <w:sz w:val="24"/>
            <w:szCs w:val="24"/>
          </w:rPr>
          <m:t xml:space="preserve">i </m:t>
        </m:r>
      </m:oMath>
      <w:proofErr w:type="gramStart"/>
      <w:r w:rsidR="00C0766A" w:rsidRPr="00C0766A">
        <w:rPr>
          <w:rFonts w:cs="Times New Roman"/>
          <w:sz w:val="24"/>
          <w:szCs w:val="24"/>
        </w:rPr>
        <w:t>-й</w:t>
      </w:r>
      <w:proofErr w:type="gramEnd"/>
      <w:r w:rsidR="00C0766A" w:rsidRPr="00C0766A">
        <w:rPr>
          <w:rFonts w:cs="Times New Roman"/>
          <w:sz w:val="24"/>
          <w:szCs w:val="24"/>
        </w:rPr>
        <w:t xml:space="preserve"> фракции.</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 xml:space="preserve">В инженерной практике для определения дисперсных характеристик используются эмпирические (чаще всего </w:t>
      </w:r>
      <w:proofErr w:type="spellStart"/>
      <w:r w:rsidRPr="00C0766A">
        <w:rPr>
          <w:rFonts w:cs="Times New Roman"/>
          <w:sz w:val="24"/>
          <w:szCs w:val="24"/>
        </w:rPr>
        <w:t>критериальные</w:t>
      </w:r>
      <w:proofErr w:type="spellEnd"/>
      <w:r w:rsidRPr="00C0766A">
        <w:rPr>
          <w:rFonts w:cs="Times New Roman"/>
          <w:sz w:val="24"/>
          <w:szCs w:val="24"/>
        </w:rPr>
        <w:t>) уравнения, полученные при обобщении экспериментальных материалов для каждой конструкции или класса распылителей.</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Характеристики распределения, отражающие профиль удельных потоков жидкости по сечению факела.</w:t>
      </w:r>
    </w:p>
    <w:p w:rsidR="00C0766A" w:rsidRPr="00C0766A" w:rsidRDefault="00C0766A" w:rsidP="00C0766A">
      <w:pPr>
        <w:spacing w:line="240" w:lineRule="auto"/>
        <w:ind w:firstLine="709"/>
        <w:jc w:val="both"/>
        <w:rPr>
          <w:rFonts w:cs="Times New Roman"/>
          <w:sz w:val="24"/>
          <w:szCs w:val="24"/>
        </w:rPr>
      </w:pPr>
      <w:r w:rsidRPr="00C0766A">
        <w:rPr>
          <w:rFonts w:cs="Times New Roman"/>
          <w:sz w:val="24"/>
          <w:szCs w:val="24"/>
        </w:rPr>
        <w:t xml:space="preserve">К ним относятся коэффициент радиальной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i</m:t>
            </m:r>
            <m:r>
              <w:rPr>
                <w:rFonts w:ascii="Cambria Math" w:hAnsi="Cambria Math" w:cs="Times New Roman"/>
                <w:sz w:val="24"/>
                <w:szCs w:val="24"/>
              </w:rPr>
              <m:t>.</m:t>
            </m:r>
            <m:r>
              <w:rPr>
                <w:rFonts w:ascii="Cambria Math" w:hAnsi="Cambria Math" w:cs="Times New Roman"/>
                <w:sz w:val="24"/>
                <w:szCs w:val="24"/>
                <w:lang w:val="en-US"/>
              </w:rPr>
              <m:t>d</m:t>
            </m:r>
          </m:sub>
        </m:sSub>
      </m:oMath>
      <w:r w:rsidRPr="00C0766A">
        <w:rPr>
          <w:rFonts w:cs="Times New Roman"/>
          <w:sz w:val="24"/>
          <w:szCs w:val="24"/>
        </w:rPr>
        <w:t xml:space="preserve">. и окружной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i</m:t>
            </m:r>
            <m:r>
              <w:rPr>
                <w:rFonts w:ascii="Cambria Math" w:hAnsi="Cambria Math" w:cs="Times New Roman"/>
                <w:sz w:val="24"/>
                <w:szCs w:val="24"/>
              </w:rPr>
              <m:t>.</m:t>
            </m:r>
            <m:r>
              <w:rPr>
                <w:rFonts w:ascii="Cambria Math" w:hAnsi="Cambria Math" w:cs="Times New Roman"/>
                <w:sz w:val="24"/>
                <w:szCs w:val="24"/>
                <w:lang w:val="en-US"/>
              </w:rPr>
              <m:t>i</m:t>
            </m:r>
          </m:sub>
        </m:sSub>
      </m:oMath>
      <w:r w:rsidRPr="00C0766A">
        <w:rPr>
          <w:rFonts w:cs="Times New Roman"/>
          <w:sz w:val="24"/>
          <w:szCs w:val="24"/>
        </w:rPr>
        <w:t xml:space="preserve">. неравномерности. Первый показывает, насколько распределение плотности орошения (отношение секундного </w:t>
      </w:r>
      <w:r w:rsidRPr="00C0766A">
        <w:rPr>
          <w:rFonts w:cs="Times New Roman"/>
          <w:sz w:val="24"/>
          <w:szCs w:val="24"/>
        </w:rPr>
        <w:lastRenderedPageBreak/>
        <w:t>расхода жидкости к площади перпендикулярной движению капель) отличается от идеально равномерного, а второй позволяет оценить, насколько факел распыла симметричен относительно оси:</w:t>
      </w:r>
    </w:p>
    <w:p w:rsidR="00C0766A" w:rsidRPr="00C0766A" w:rsidRDefault="005F4042" w:rsidP="00C0766A">
      <w:pPr>
        <w:spacing w:line="240" w:lineRule="auto"/>
        <w:ind w:firstLine="709"/>
        <w:jc w:val="right"/>
        <w:rPr>
          <w:rFonts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i</m:t>
            </m:r>
            <m:r>
              <w:rPr>
                <w:rFonts w:ascii="Cambria Math" w:hAnsi="Cambria Math" w:cs="Times New Roman"/>
                <w:sz w:val="24"/>
                <w:szCs w:val="24"/>
              </w:rPr>
              <m:t>.</m:t>
            </m:r>
            <m:r>
              <w:rPr>
                <w:rFonts w:ascii="Cambria Math" w:hAnsi="Cambria Math" w:cs="Times New Roman"/>
                <w:sz w:val="24"/>
                <w:szCs w:val="24"/>
                <w:lang w:val="en-US"/>
              </w:rPr>
              <m:t>d</m:t>
            </m:r>
          </m:sub>
        </m:sSub>
        <m:r>
          <w:rPr>
            <w:rFonts w:ascii="Cambria Math" w:hAnsi="Cambria Math" w:cs="Times New Roman"/>
            <w:sz w:val="24"/>
            <w:szCs w:val="24"/>
          </w:rPr>
          <m:t>=</m:t>
        </m:r>
        <m:f>
          <m:fPr>
            <m:ctrlPr>
              <w:rPr>
                <w:rFonts w:ascii="Cambria Math" w:hAnsi="Cambria Math" w:cs="Times New Roman"/>
                <w:i/>
                <w:sz w:val="24"/>
                <w:szCs w:val="24"/>
                <w:lang w:val="en-US"/>
              </w:rPr>
            </m:ctrlPr>
          </m:fPr>
          <m:num>
            <m:r>
              <w:rPr>
                <w:rFonts w:ascii="Cambria Math" w:hAnsi="Cambria Math" w:cs="Times New Roman"/>
                <w:sz w:val="24"/>
                <w:szCs w:val="24"/>
              </w:rPr>
              <m:t>1</m:t>
            </m:r>
          </m:num>
          <m:den>
            <m:r>
              <w:rPr>
                <w:rFonts w:ascii="Cambria Math" w:hAnsi="Cambria Math" w:cs="Times New Roman"/>
                <w:sz w:val="24"/>
                <w:szCs w:val="24"/>
                <w:lang w:val="en-US"/>
              </w:rPr>
              <m:t>F</m:t>
            </m:r>
          </m:den>
        </m:f>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i</m:t>
            </m:r>
            <m:r>
              <w:rPr>
                <w:rFonts w:ascii="Cambria Math" w:hAnsi="Cambria Math" w:cs="Times New Roman"/>
                <w:sz w:val="24"/>
                <w:szCs w:val="24"/>
              </w:rPr>
              <m:t>=1</m:t>
            </m:r>
          </m:sub>
          <m:sup>
            <m:r>
              <w:rPr>
                <w:rFonts w:ascii="Cambria Math" w:hAnsi="Cambria Math" w:cs="Times New Roman"/>
                <w:sz w:val="24"/>
                <w:szCs w:val="24"/>
                <w:lang w:val="en-US"/>
              </w:rPr>
              <m:t>n</m:t>
            </m:r>
          </m:sup>
          <m:e>
            <m:f>
              <m:fPr>
                <m:ctrlPr>
                  <w:rPr>
                    <w:rFonts w:ascii="Cambria Math" w:hAnsi="Cambria Math" w:cs="Times New Roman"/>
                    <w:i/>
                    <w:sz w:val="24"/>
                    <w:szCs w:val="24"/>
                    <w:lang w:val="en-US"/>
                  </w:rPr>
                </m:ctrlPr>
              </m:fPr>
              <m:num>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m:t>
                        </m:r>
                      </m:sub>
                    </m:sSub>
                    <m:r>
                      <w:rPr>
                        <w:rFonts w:ascii="Cambria Math" w:hAnsi="Cambria Math" w:cs="Times New Roman"/>
                        <w:sz w:val="24"/>
                        <w:szCs w:val="24"/>
                      </w:rPr>
                      <m:t>-</m:t>
                    </m:r>
                    <m:acc>
                      <m:accPr>
                        <m:chr m:val="̅"/>
                        <m:ctrlPr>
                          <w:rPr>
                            <w:rFonts w:ascii="Cambria Math" w:hAnsi="Cambria Math" w:cs="Times New Roman"/>
                            <w:i/>
                            <w:sz w:val="24"/>
                            <w:szCs w:val="24"/>
                            <w:lang w:val="en-US"/>
                          </w:rPr>
                        </m:ctrlPr>
                      </m:accPr>
                      <m:e>
                        <m:r>
                          <w:rPr>
                            <w:rFonts w:ascii="Cambria Math" w:hAnsi="Cambria Math" w:cs="Times New Roman"/>
                            <w:sz w:val="24"/>
                            <w:szCs w:val="24"/>
                            <w:lang w:val="en-US"/>
                          </w:rPr>
                          <m:t>q</m:t>
                        </m:r>
                      </m:e>
                    </m:acc>
                  </m:e>
                </m:d>
              </m:num>
              <m:den>
                <m:r>
                  <w:rPr>
                    <w:rFonts w:ascii="Cambria Math" w:hAnsi="Cambria Math" w:cs="Times New Roman"/>
                    <w:sz w:val="24"/>
                    <w:szCs w:val="24"/>
                    <w:lang w:val="en-US"/>
                  </w:rPr>
                  <m:t>q</m:t>
                </m:r>
              </m:den>
            </m:f>
            <m:sSub>
              <m:sSubPr>
                <m:ctrlPr>
                  <w:rPr>
                    <w:rFonts w:ascii="Cambria Math" w:hAnsi="Cambria Math" w:cs="Times New Roman"/>
                    <w:i/>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i</m:t>
                </m:r>
              </m:sub>
            </m:sSub>
          </m:e>
        </m:nary>
        <m:r>
          <w:rPr>
            <w:rFonts w:ascii="Cambria Math" w:hAnsi="Cambria Math" w:cs="Times New Roman"/>
            <w:sz w:val="24"/>
            <w:szCs w:val="24"/>
          </w:rPr>
          <m:t>,</m:t>
        </m:r>
      </m:oMath>
      <w:r w:rsidR="00C0766A" w:rsidRPr="00C0766A">
        <w:rPr>
          <w:rFonts w:cs="Times New Roman"/>
          <w:sz w:val="24"/>
          <w:szCs w:val="24"/>
        </w:rPr>
        <w:t xml:space="preserve">                                        (2)</w:t>
      </w:r>
    </w:p>
    <w:p w:rsidR="00C0766A" w:rsidRPr="00C0766A" w:rsidRDefault="005F4042" w:rsidP="00C0766A">
      <w:pPr>
        <w:spacing w:line="240" w:lineRule="auto"/>
        <w:ind w:firstLine="709"/>
        <w:jc w:val="right"/>
        <w:rPr>
          <w:rFonts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i</m:t>
            </m:r>
            <m:r>
              <w:rPr>
                <w:rFonts w:ascii="Cambria Math" w:hAnsi="Cambria Math" w:cs="Times New Roman"/>
                <w:sz w:val="24"/>
                <w:szCs w:val="24"/>
              </w:rPr>
              <m:t>.</m:t>
            </m:r>
            <m:r>
              <w:rPr>
                <w:rFonts w:ascii="Cambria Math" w:hAnsi="Cambria Math" w:cs="Times New Roman"/>
                <w:sz w:val="24"/>
                <w:szCs w:val="24"/>
                <w:lang w:val="en-US"/>
              </w:rPr>
              <m:t>i</m:t>
            </m:r>
          </m:sub>
        </m:sSub>
        <m:r>
          <w:rPr>
            <w:rFonts w:ascii="Cambria Math" w:hAnsi="Cambria Math" w:cs="Times New Roman"/>
            <w:sz w:val="24"/>
            <w:szCs w:val="24"/>
          </w:rPr>
          <m:t>=</m:t>
        </m:r>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max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min</m:t>
                </m:r>
              </m:sub>
            </m:sSub>
          </m:num>
          <m:den>
            <m:acc>
              <m:accPr>
                <m:chr m:val="̅"/>
                <m:ctrlPr>
                  <w:rPr>
                    <w:rFonts w:ascii="Cambria Math" w:hAnsi="Cambria Math" w:cs="Times New Roman"/>
                    <w:i/>
                    <w:sz w:val="24"/>
                    <w:szCs w:val="24"/>
                    <w:lang w:val="en-US"/>
                  </w:rPr>
                </m:ctrlPr>
              </m:accPr>
              <m:e>
                <m:r>
                  <w:rPr>
                    <w:rFonts w:ascii="Cambria Math" w:hAnsi="Cambria Math" w:cs="Times New Roman"/>
                    <w:sz w:val="24"/>
                    <w:szCs w:val="24"/>
                    <w:lang w:val="en-US"/>
                  </w:rPr>
                  <m:t>q</m:t>
                </m:r>
              </m:e>
            </m:acc>
          </m:den>
        </m:f>
        <m:r>
          <w:rPr>
            <w:rFonts w:ascii="Cambria Math" w:hAnsi="Cambria Math" w:cs="Times New Roman"/>
            <w:sz w:val="24"/>
            <w:szCs w:val="24"/>
          </w:rPr>
          <m:t>,</m:t>
        </m:r>
      </m:oMath>
      <w:r w:rsidR="00C0766A" w:rsidRPr="00C0766A">
        <w:rPr>
          <w:rFonts w:cs="Times New Roman"/>
          <w:noProof/>
          <w:sz w:val="24"/>
          <w:szCs w:val="24"/>
          <w:lang w:eastAsia="ru-RU"/>
        </w:rPr>
        <w:t xml:space="preserve">                                          </w:t>
      </w:r>
      <w:r w:rsidR="00C0766A" w:rsidRPr="00C0766A">
        <w:rPr>
          <w:rFonts w:cs="Times New Roman"/>
          <w:sz w:val="24"/>
          <w:szCs w:val="24"/>
        </w:rPr>
        <w:t xml:space="preserve"> (3)</w:t>
      </w:r>
    </w:p>
    <w:p w:rsidR="00C0766A" w:rsidRPr="00C0766A" w:rsidRDefault="00C0766A" w:rsidP="00C0766A">
      <w:pPr>
        <w:spacing w:line="240" w:lineRule="auto"/>
        <w:jc w:val="both"/>
        <w:rPr>
          <w:rFonts w:cs="Times New Roman"/>
          <w:sz w:val="24"/>
          <w:szCs w:val="24"/>
        </w:rPr>
      </w:pPr>
      <w:r w:rsidRPr="00C0766A">
        <w:rPr>
          <w:rFonts w:cs="Times New Roman"/>
          <w:sz w:val="24"/>
          <w:szCs w:val="24"/>
        </w:rPr>
        <w:t>где</w:t>
      </w:r>
      <m:oMath>
        <m:r>
          <w:rPr>
            <w:rFonts w:ascii="Cambria Math" w:hAnsi="Cambria Math" w:cs="Times New Roman"/>
            <w:sz w:val="24"/>
            <w:szCs w:val="24"/>
          </w:rPr>
          <m:t xml:space="preserve"> F=</m:t>
        </m:r>
        <m:nary>
          <m:naryPr>
            <m:chr m:val="∑"/>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i</m:t>
                </m:r>
              </m:sub>
            </m:sSub>
          </m:e>
        </m:nary>
        <m:r>
          <w:rPr>
            <w:rFonts w:ascii="Cambria Math" w:hAnsi="Cambria Math" w:cs="Times New Roman"/>
            <w:sz w:val="24"/>
            <w:szCs w:val="24"/>
          </w:rPr>
          <m:t xml:space="preserve"> </m:t>
        </m:r>
      </m:oMath>
      <w:r w:rsidRPr="00C0766A">
        <w:rPr>
          <w:rFonts w:cs="Times New Roman"/>
          <w:sz w:val="24"/>
          <w:szCs w:val="24"/>
        </w:rPr>
        <w:t>- полная площадь факела в исследуемом сечении;</w:t>
      </w:r>
    </w:p>
    <w:p w:rsidR="00C0766A" w:rsidRPr="00C0766A" w:rsidRDefault="005F4042" w:rsidP="00C0766A">
      <w:pPr>
        <w:spacing w:line="240" w:lineRule="auto"/>
        <w:jc w:val="both"/>
        <w:rPr>
          <w:rFonts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m:t>
            </m:r>
          </m:sub>
        </m:sSub>
      </m:oMath>
      <w:r w:rsidR="00C0766A" w:rsidRPr="00C0766A">
        <w:rPr>
          <w:rFonts w:cs="Times New Roman"/>
          <w:noProof/>
          <w:sz w:val="24"/>
          <w:szCs w:val="24"/>
          <w:lang w:eastAsia="ru-RU"/>
        </w:rPr>
        <w:t xml:space="preserve"> - </w:t>
      </w:r>
      <w:r w:rsidR="00C0766A" w:rsidRPr="00C0766A">
        <w:rPr>
          <w:rFonts w:cs="Times New Roman"/>
          <w:sz w:val="24"/>
          <w:szCs w:val="24"/>
        </w:rPr>
        <w:t xml:space="preserve">плотность орошения </w:t>
      </w:r>
      <m:oMath>
        <m:r>
          <w:rPr>
            <w:rFonts w:ascii="Cambria Math" w:hAnsi="Cambria Math" w:cs="Times New Roman"/>
            <w:sz w:val="24"/>
            <w:szCs w:val="24"/>
          </w:rPr>
          <m:t>i</m:t>
        </m:r>
      </m:oMath>
      <w:r w:rsidR="00C0766A" w:rsidRPr="00C0766A">
        <w:rPr>
          <w:rFonts w:eastAsiaTheme="minorEastAsia" w:cs="Times New Roman"/>
          <w:sz w:val="24"/>
          <w:szCs w:val="24"/>
        </w:rPr>
        <w:t xml:space="preserve"> </w:t>
      </w:r>
      <w:r w:rsidR="00C0766A" w:rsidRPr="00C0766A">
        <w:rPr>
          <w:rFonts w:cs="Times New Roman"/>
          <w:sz w:val="24"/>
          <w:szCs w:val="24"/>
        </w:rPr>
        <w:t xml:space="preserve">- й кольцевой зоны; </w:t>
      </w:r>
    </w:p>
    <w:p w:rsidR="00C0766A" w:rsidRPr="00C0766A" w:rsidRDefault="005F4042" w:rsidP="00C0766A">
      <w:pPr>
        <w:spacing w:line="240" w:lineRule="auto"/>
        <w:jc w:val="both"/>
        <w:rPr>
          <w:rFonts w:cs="Times New Roman"/>
          <w:sz w:val="24"/>
          <w:szCs w:val="24"/>
        </w:rPr>
      </w:pPr>
      <m:oMath>
        <m:acc>
          <m:accPr>
            <m:chr m:val="̅"/>
            <m:ctrlPr>
              <w:rPr>
                <w:rFonts w:ascii="Cambria Math" w:hAnsi="Cambria Math" w:cs="Times New Roman"/>
                <w:i/>
                <w:sz w:val="24"/>
                <w:szCs w:val="24"/>
                <w:lang w:val="en-US"/>
              </w:rPr>
            </m:ctrlPr>
          </m:accPr>
          <m:e>
            <m:r>
              <w:rPr>
                <w:rFonts w:ascii="Cambria Math" w:hAnsi="Cambria Math" w:cs="Times New Roman"/>
                <w:sz w:val="24"/>
                <w:szCs w:val="24"/>
                <w:lang w:val="en-US"/>
              </w:rPr>
              <m:t>q</m:t>
            </m:r>
          </m:e>
        </m:acc>
        <m:r>
          <w:rPr>
            <w:rFonts w:ascii="Cambria Math" w:hAnsi="Cambria Math" w:cs="Times New Roman"/>
            <w:sz w:val="24"/>
            <w:szCs w:val="24"/>
          </w:rPr>
          <m:t>=</m:t>
        </m:r>
        <m:nary>
          <m:naryPr>
            <m:chr m:val="∑"/>
            <m:limLoc m:val="undOvr"/>
            <m:subHide m:val="on"/>
            <m:supHide m:val="on"/>
            <m:ctrlPr>
              <w:rPr>
                <w:rFonts w:ascii="Cambria Math" w:hAnsi="Cambria Math" w:cs="Times New Roman"/>
                <w:i/>
                <w:sz w:val="24"/>
                <w:szCs w:val="24"/>
                <w:lang w:val="en-US"/>
              </w:rPr>
            </m:ctrlPr>
          </m:naryPr>
          <m:sub/>
          <m:sup/>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m:t>
                </m:r>
              </m:sub>
            </m:sSub>
            <m:r>
              <m:rPr>
                <m:sty m:val="p"/>
              </m:rPr>
              <w:rPr>
                <w:rFonts w:ascii="Cambria Math" w:hAnsi="Cambria Math" w:cs="Times New Roman"/>
                <w:noProof/>
                <w:sz w:val="24"/>
                <w:szCs w:val="24"/>
                <w:lang w:eastAsia="ru-RU"/>
              </w:rPr>
              <m:t xml:space="preserve"> /N</m:t>
            </m:r>
          </m:e>
        </m:nary>
      </m:oMath>
      <w:r w:rsidR="00C0766A" w:rsidRPr="00C0766A">
        <w:rPr>
          <w:rFonts w:cs="Times New Roman"/>
          <w:noProof/>
          <w:sz w:val="24"/>
          <w:szCs w:val="24"/>
          <w:lang w:eastAsia="ru-RU"/>
        </w:rPr>
        <w:t xml:space="preserve"> </w:t>
      </w:r>
      <w:r w:rsidR="00C0766A" w:rsidRPr="00C0766A">
        <w:rPr>
          <w:rFonts w:cs="Times New Roman"/>
          <w:sz w:val="24"/>
          <w:szCs w:val="24"/>
        </w:rPr>
        <w:t xml:space="preserve">- средняя по сечению плотность орошения; </w:t>
      </w:r>
    </w:p>
    <w:p w:rsidR="00C0766A" w:rsidRPr="00C0766A" w:rsidRDefault="005F4042" w:rsidP="00C0766A">
      <w:pPr>
        <w:pStyle w:val="Default"/>
        <w:jc w:val="both"/>
      </w:pPr>
      <m:oMath>
        <m:sSub>
          <m:sSubPr>
            <m:ctrlPr>
              <w:rPr>
                <w:rFonts w:ascii="Cambria Math" w:hAnsi="Cambria Math"/>
                <w:i/>
                <w:color w:val="auto"/>
                <w:lang w:val="en-US"/>
              </w:rPr>
            </m:ctrlPr>
          </m:sSubPr>
          <m:e>
            <m:r>
              <w:rPr>
                <w:rFonts w:ascii="Cambria Math" w:hAnsi="Cambria Math"/>
                <w:lang w:val="en-US"/>
              </w:rPr>
              <m:t>q</m:t>
            </m:r>
          </m:e>
          <m:sub>
            <m:r>
              <w:rPr>
                <w:rFonts w:ascii="Cambria Math" w:hAnsi="Cambria Math"/>
                <w:lang w:val="en-US"/>
              </w:rPr>
              <m:t>max</m:t>
            </m:r>
          </m:sub>
        </m:sSub>
        <m:r>
          <w:rPr>
            <w:rFonts w:ascii="Cambria Math" w:hAnsi="Cambria Math"/>
          </w:rPr>
          <m:t xml:space="preserve"> и </m:t>
        </m:r>
        <m:sSub>
          <m:sSubPr>
            <m:ctrlPr>
              <w:rPr>
                <w:rFonts w:ascii="Cambria Math" w:hAnsi="Cambria Math"/>
                <w:i/>
                <w:color w:val="auto"/>
              </w:rPr>
            </m:ctrlPr>
          </m:sSubPr>
          <m:e>
            <m:r>
              <w:rPr>
                <w:rFonts w:ascii="Cambria Math" w:hAnsi="Cambria Math"/>
              </w:rPr>
              <m:t>q</m:t>
            </m:r>
          </m:e>
          <m:sub>
            <m:r>
              <w:rPr>
                <w:rFonts w:ascii="Cambria Math" w:hAnsi="Cambria Math"/>
              </w:rPr>
              <m:t>min</m:t>
            </m:r>
          </m:sub>
        </m:sSub>
      </m:oMath>
      <w:r w:rsidR="00C0766A" w:rsidRPr="00C0766A">
        <w:rPr>
          <w:noProof/>
          <w:lang w:eastAsia="ru-RU"/>
        </w:rPr>
        <w:t xml:space="preserve"> </w:t>
      </w:r>
      <w:r w:rsidR="00C0766A" w:rsidRPr="00C0766A">
        <w:t xml:space="preserve"> – число кольцевых зон, на которое разбито сечение секторных зон, на которое разбито сечение факела; </w:t>
      </w:r>
    </w:p>
    <w:p w:rsidR="00C0766A" w:rsidRPr="00C0766A" w:rsidRDefault="00C0766A" w:rsidP="00C0766A">
      <w:pPr>
        <w:pStyle w:val="Default"/>
        <w:jc w:val="both"/>
      </w:pPr>
      <m:oMath>
        <m:r>
          <w:rPr>
            <w:rFonts w:ascii="Cambria Math" w:hAnsi="Cambria Math"/>
          </w:rPr>
          <m:t>N</m:t>
        </m:r>
      </m:oMath>
      <w:r w:rsidRPr="00C0766A">
        <w:t xml:space="preserve"> – максимальная и минимальная плотность орошения секторных зон, на которые разбиваются факел при определении </w:t>
      </w:r>
      <m:oMath>
        <m:sSub>
          <m:sSubPr>
            <m:ctrlPr>
              <w:rPr>
                <w:rFonts w:ascii="Cambria Math" w:hAnsi="Cambria Math"/>
                <w:i/>
                <w:color w:val="auto"/>
                <w:lang w:val="en-US"/>
              </w:rPr>
            </m:ctrlPr>
          </m:sSubPr>
          <m:e>
            <m:r>
              <w:rPr>
                <w:rFonts w:ascii="Cambria Math" w:hAnsi="Cambria Math"/>
                <w:lang w:val="en-US"/>
              </w:rPr>
              <m:t>k</m:t>
            </m:r>
          </m:e>
          <m:sub>
            <m:r>
              <w:rPr>
                <w:rFonts w:ascii="Cambria Math" w:hAnsi="Cambria Math"/>
                <w:lang w:val="en-US"/>
              </w:rPr>
              <m:t>i</m:t>
            </m:r>
            <m:r>
              <w:rPr>
                <w:rFonts w:ascii="Cambria Math" w:hAnsi="Cambria Math"/>
              </w:rPr>
              <m:t>.</m:t>
            </m:r>
            <m:r>
              <w:rPr>
                <w:rFonts w:ascii="Cambria Math" w:hAnsi="Cambria Math"/>
                <w:lang w:val="en-US"/>
              </w:rPr>
              <m:t>i</m:t>
            </m:r>
          </m:sub>
        </m:sSub>
      </m:oMath>
      <w:r w:rsidRPr="00C0766A">
        <w:rPr>
          <w:noProof/>
          <w:lang w:eastAsia="ru-RU"/>
        </w:rPr>
        <w:t>.</w:t>
      </w:r>
    </w:p>
    <w:p w:rsidR="00C0766A" w:rsidRPr="00C0766A" w:rsidRDefault="00C0766A" w:rsidP="00C0766A">
      <w:pPr>
        <w:spacing w:line="240" w:lineRule="auto"/>
        <w:ind w:firstLine="567"/>
        <w:jc w:val="both"/>
        <w:rPr>
          <w:sz w:val="24"/>
          <w:szCs w:val="24"/>
        </w:rPr>
      </w:pPr>
      <w:r w:rsidRPr="00C0766A">
        <w:rPr>
          <w:sz w:val="24"/>
          <w:szCs w:val="24"/>
        </w:rPr>
        <w:t>Передача тепла конвекцией осуществляется в результате перемещения частиц газообразного или жидкого вещества. При этом взамен частиц вещества, забравших энергию у теплонагруженного элемента, поступают более холодные.</w:t>
      </w:r>
    </w:p>
    <w:p w:rsidR="00C0766A" w:rsidRPr="00C0766A" w:rsidRDefault="00C0766A" w:rsidP="00C0766A">
      <w:pPr>
        <w:spacing w:line="240" w:lineRule="auto"/>
        <w:ind w:firstLine="567"/>
        <w:jc w:val="both"/>
        <w:rPr>
          <w:sz w:val="24"/>
          <w:szCs w:val="24"/>
        </w:rPr>
      </w:pPr>
      <w:r w:rsidRPr="00C0766A">
        <w:rPr>
          <w:sz w:val="24"/>
          <w:szCs w:val="24"/>
        </w:rPr>
        <w:t>Теория конвективного переноса, основанная на теории (критериях) подобия, также подтверждает, что площадь радиаторов нужно увеличивать, что как бы и очевидно, так как с большей площади уносится, и большее количество тепла и температура теплонагруженного элемента снижается.</w:t>
      </w:r>
    </w:p>
    <w:p w:rsidR="00DA2116" w:rsidRDefault="00C0766A" w:rsidP="00C0766A">
      <w:pPr>
        <w:spacing w:line="240" w:lineRule="auto"/>
        <w:ind w:firstLine="567"/>
        <w:jc w:val="both"/>
        <w:rPr>
          <w:sz w:val="24"/>
          <w:szCs w:val="24"/>
        </w:rPr>
      </w:pPr>
      <w:r w:rsidRPr="00C0766A">
        <w:rPr>
          <w:sz w:val="24"/>
          <w:szCs w:val="24"/>
        </w:rPr>
        <w:t>При конвекции скорость движения молекул сравнительно небольшая. Для повышения скорости можно реализовать устройство, в котором молекулы будут иметь однонаправленное движение</w:t>
      </w:r>
      <w:r>
        <w:rPr>
          <w:sz w:val="24"/>
          <w:szCs w:val="24"/>
        </w:rPr>
        <w:t xml:space="preserve">, и в данной системе используется как </w:t>
      </w:r>
      <w:r w:rsidRPr="00C0766A">
        <w:rPr>
          <w:sz w:val="24"/>
          <w:szCs w:val="24"/>
        </w:rPr>
        <w:t xml:space="preserve">ультразвуковой испаритель. Принцип действия заключается на высокочастотном колебании </w:t>
      </w:r>
      <w:proofErr w:type="gramStart"/>
      <w:r w:rsidRPr="00C0766A">
        <w:rPr>
          <w:sz w:val="24"/>
          <w:szCs w:val="24"/>
        </w:rPr>
        <w:t>мембраны</w:t>
      </w:r>
      <w:proofErr w:type="gramEnd"/>
      <w:r w:rsidRPr="00C0766A">
        <w:rPr>
          <w:sz w:val="24"/>
          <w:szCs w:val="24"/>
        </w:rPr>
        <w:t xml:space="preserve"> которое создает в жидкости звуковые волны, которые представляют собой области сжатия и разрежения (повышенного и пониженного давления). В области пониженного давления образуются </w:t>
      </w:r>
      <w:proofErr w:type="spellStart"/>
      <w:r w:rsidRPr="00C0766A">
        <w:rPr>
          <w:sz w:val="24"/>
          <w:szCs w:val="24"/>
        </w:rPr>
        <w:t>кавитационные</w:t>
      </w:r>
      <w:proofErr w:type="spellEnd"/>
      <w:r w:rsidRPr="00C0766A">
        <w:rPr>
          <w:sz w:val="24"/>
          <w:szCs w:val="24"/>
        </w:rPr>
        <w:t xml:space="preserve"> пузырьки, которые представляют собой пузырьки пара и появляются благодаря тому, что при низком давлении температура кипения воды ниже температуры воды.</w:t>
      </w:r>
    </w:p>
    <w:p w:rsidR="00C0766A" w:rsidRPr="00C0766A" w:rsidRDefault="00C0766A" w:rsidP="00C0766A">
      <w:pPr>
        <w:spacing w:line="240" w:lineRule="auto"/>
        <w:ind w:firstLine="567"/>
        <w:jc w:val="both"/>
        <w:rPr>
          <w:sz w:val="24"/>
          <w:szCs w:val="24"/>
        </w:rPr>
      </w:pPr>
      <w:r w:rsidRPr="00C0766A">
        <w:rPr>
          <w:sz w:val="24"/>
          <w:szCs w:val="24"/>
        </w:rPr>
        <w:t>Изготовление стенок теплообменника из алюминия уменьшает вес конструкции в несколько раз и обеспечивает совместимость с теплоносителем.</w:t>
      </w:r>
    </w:p>
    <w:p w:rsidR="00C0766A" w:rsidRPr="00C0766A" w:rsidRDefault="00C0766A" w:rsidP="00C0766A">
      <w:pPr>
        <w:spacing w:line="240" w:lineRule="auto"/>
        <w:ind w:firstLine="567"/>
        <w:jc w:val="both"/>
        <w:rPr>
          <w:sz w:val="24"/>
          <w:szCs w:val="24"/>
        </w:rPr>
      </w:pPr>
      <w:r w:rsidRPr="00C0766A">
        <w:rPr>
          <w:sz w:val="24"/>
          <w:szCs w:val="24"/>
        </w:rPr>
        <w:t>Изготовление стенок испарителя и конденсатора толщиной устройство для охлаждения радиоэлектронной аппаратуры, δ&lt;1,5 мм не обеспечивает требуемой жесткости и прочности конструкции, необходимой при закреплении испарителя на охлаждаемом элементе аппаратуры. Кроме этого, затрудняется изготовление испарителя и конденсатора.</w:t>
      </w:r>
    </w:p>
    <w:p w:rsidR="00C0766A" w:rsidRPr="00C0766A" w:rsidRDefault="00C0766A" w:rsidP="00C0766A">
      <w:pPr>
        <w:spacing w:line="240" w:lineRule="auto"/>
        <w:ind w:firstLine="567"/>
        <w:jc w:val="both"/>
        <w:rPr>
          <w:sz w:val="24"/>
          <w:szCs w:val="24"/>
        </w:rPr>
      </w:pPr>
      <w:r w:rsidRPr="00C0766A">
        <w:rPr>
          <w:sz w:val="24"/>
          <w:szCs w:val="24"/>
        </w:rPr>
        <w:t>Изготовление стенок испарителя и конденсатора толщиной устройство для охлаждения радиоэлектронной аппаратуры, δ&gt;2,5 мм нецелесообразно увеличивает вес конструкции, ее габариты и трудоемкость изготовления.</w:t>
      </w:r>
    </w:p>
    <w:p w:rsidR="00DA2116" w:rsidRPr="007F4A8C" w:rsidRDefault="00C0766A" w:rsidP="00C0766A">
      <w:pPr>
        <w:spacing w:line="240" w:lineRule="auto"/>
        <w:ind w:firstLine="567"/>
        <w:jc w:val="both"/>
        <w:rPr>
          <w:sz w:val="24"/>
          <w:szCs w:val="24"/>
        </w:rPr>
      </w:pPr>
      <w:r w:rsidRPr="00C0766A">
        <w:rPr>
          <w:sz w:val="24"/>
          <w:szCs w:val="24"/>
        </w:rPr>
        <w:t xml:space="preserve">Уменьшение объема теплоносителя в полости испарителя в процессе его работы </w:t>
      </w:r>
      <w:proofErr w:type="spellStart"/>
      <w:r w:rsidRPr="00C0766A">
        <w:rPr>
          <w:sz w:val="24"/>
          <w:szCs w:val="24"/>
        </w:rPr>
        <w:t>Vраб</w:t>
      </w:r>
      <w:proofErr w:type="gramStart"/>
      <w:r w:rsidRPr="00C0766A">
        <w:rPr>
          <w:sz w:val="24"/>
          <w:szCs w:val="24"/>
        </w:rPr>
        <w:t>.ж</w:t>
      </w:r>
      <w:proofErr w:type="gramEnd"/>
      <w:r w:rsidRPr="00C0766A">
        <w:rPr>
          <w:sz w:val="24"/>
          <w:szCs w:val="24"/>
        </w:rPr>
        <w:t>ид</w:t>
      </w:r>
      <w:proofErr w:type="spellEnd"/>
      <w:r w:rsidRPr="00C0766A">
        <w:rPr>
          <w:sz w:val="24"/>
          <w:szCs w:val="24"/>
        </w:rPr>
        <w:t>.&lt;0,5•V (где V - внутренний объем полости теплообменника) приводит к возможности перехода всего теплоносителя в пар при увеличенных тепловых нагрузках и, как результат, перегрев испарителя и охлаждаемого элемента с выходом его из строя.</w:t>
      </w:r>
    </w:p>
    <w:p w:rsidR="00C273EA" w:rsidRDefault="00C273EA" w:rsidP="007A2042">
      <w:pPr>
        <w:spacing w:line="240" w:lineRule="auto"/>
        <w:jc w:val="center"/>
        <w:rPr>
          <w:b/>
          <w:sz w:val="24"/>
          <w:szCs w:val="24"/>
        </w:rPr>
      </w:pPr>
    </w:p>
    <w:p w:rsidR="002150A0" w:rsidRDefault="002150A0" w:rsidP="007A2042">
      <w:pPr>
        <w:spacing w:line="240" w:lineRule="auto"/>
        <w:jc w:val="center"/>
        <w:rPr>
          <w:b/>
          <w:sz w:val="24"/>
          <w:szCs w:val="24"/>
        </w:rPr>
      </w:pPr>
      <w:r w:rsidRPr="000A2B74">
        <w:rPr>
          <w:b/>
          <w:sz w:val="24"/>
          <w:szCs w:val="24"/>
        </w:rPr>
        <w:t>Библиографический список</w:t>
      </w:r>
    </w:p>
    <w:p w:rsidR="007A2042" w:rsidRDefault="007A2042" w:rsidP="007A2042">
      <w:pPr>
        <w:spacing w:line="240" w:lineRule="auto"/>
        <w:jc w:val="center"/>
        <w:rPr>
          <w:b/>
          <w:sz w:val="24"/>
          <w:szCs w:val="24"/>
        </w:rPr>
      </w:pPr>
    </w:p>
    <w:p w:rsidR="00CA11C2" w:rsidRPr="00CA11C2" w:rsidRDefault="00CA11C2" w:rsidP="00145D32">
      <w:pPr>
        <w:pStyle w:val="a5"/>
        <w:numPr>
          <w:ilvl w:val="0"/>
          <w:numId w:val="7"/>
        </w:numPr>
        <w:jc w:val="both"/>
      </w:pPr>
      <w:r w:rsidRPr="00CA11C2">
        <w:t xml:space="preserve">Исмаилов Т.А. Термоэлектрические полупроводниковые устройства и </w:t>
      </w:r>
      <w:proofErr w:type="spellStart"/>
      <w:r w:rsidRPr="00CA11C2">
        <w:t>интенсификаторы</w:t>
      </w:r>
      <w:proofErr w:type="spellEnd"/>
      <w:r w:rsidRPr="00CA11C2">
        <w:t xml:space="preserve"> теплопередачи. - СПб</w:t>
      </w:r>
      <w:proofErr w:type="gramStart"/>
      <w:r w:rsidRPr="00CA11C2">
        <w:t xml:space="preserve">.: </w:t>
      </w:r>
      <w:proofErr w:type="gramEnd"/>
      <w:r w:rsidRPr="00CA11C2">
        <w:t>Политехника. - 2005. - 534 с.</w:t>
      </w:r>
    </w:p>
    <w:p w:rsidR="00145D32" w:rsidRPr="00145D32" w:rsidRDefault="00145D32" w:rsidP="00145D32">
      <w:pPr>
        <w:pStyle w:val="a5"/>
        <w:numPr>
          <w:ilvl w:val="0"/>
          <w:numId w:val="7"/>
        </w:numPr>
      </w:pPr>
      <w:r w:rsidRPr="00145D32">
        <w:t>Интенсификация тепл</w:t>
      </w:r>
      <w:proofErr w:type="gramStart"/>
      <w:r w:rsidRPr="00145D32">
        <w:t>о-</w:t>
      </w:r>
      <w:proofErr w:type="gramEnd"/>
      <w:r w:rsidRPr="00145D32">
        <w:t xml:space="preserve"> и </w:t>
      </w:r>
      <w:proofErr w:type="spellStart"/>
      <w:r w:rsidRPr="00145D32">
        <w:t>массообмена</w:t>
      </w:r>
      <w:proofErr w:type="spellEnd"/>
      <w:r w:rsidRPr="00145D32">
        <w:t xml:space="preserve"> на </w:t>
      </w:r>
      <w:proofErr w:type="spellStart"/>
      <w:r w:rsidRPr="00145D32">
        <w:t>макро-,микро</w:t>
      </w:r>
      <w:proofErr w:type="spellEnd"/>
      <w:r w:rsidRPr="00145D32">
        <w:t xml:space="preserve">- и </w:t>
      </w:r>
      <w:proofErr w:type="spellStart"/>
      <w:r w:rsidRPr="00145D32">
        <w:t>наномасштабах</w:t>
      </w:r>
      <w:proofErr w:type="spellEnd"/>
      <w:r w:rsidRPr="00145D32">
        <w:t xml:space="preserve"> [Текст]: монография / Б.В. </w:t>
      </w:r>
      <w:proofErr w:type="spellStart"/>
      <w:r w:rsidRPr="00145D32">
        <w:t>Дзюбенко</w:t>
      </w:r>
      <w:proofErr w:type="spellEnd"/>
      <w:r w:rsidRPr="00145D32">
        <w:t xml:space="preserve">, Ю.А. </w:t>
      </w:r>
      <w:proofErr w:type="spellStart"/>
      <w:r w:rsidRPr="00145D32">
        <w:t>Кузма-Кичта</w:t>
      </w:r>
      <w:proofErr w:type="spellEnd"/>
      <w:r w:rsidRPr="00145D32">
        <w:t xml:space="preserve">, А.И. Леонтьев, И.И. </w:t>
      </w:r>
      <w:proofErr w:type="spellStart"/>
      <w:r w:rsidRPr="00145D32">
        <w:t>Федик,Л.П</w:t>
      </w:r>
      <w:proofErr w:type="spellEnd"/>
      <w:r w:rsidRPr="00145D32">
        <w:t xml:space="preserve">. </w:t>
      </w:r>
      <w:proofErr w:type="spellStart"/>
      <w:r w:rsidRPr="00145D32">
        <w:t>Холпанов</w:t>
      </w:r>
      <w:proofErr w:type="spellEnd"/>
      <w:r w:rsidRPr="00145D32">
        <w:t xml:space="preserve"> // М.: ФГУП «ЦНИИАТОМИНФОРМ»,2008. – 532 с. </w:t>
      </w:r>
    </w:p>
    <w:sectPr w:rsidR="00145D32" w:rsidRPr="00145D32" w:rsidSect="00AB0912">
      <w:pgSz w:w="11906" w:h="16838"/>
      <w:pgMar w:top="1418" w:right="851"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82441"/>
    <w:multiLevelType w:val="hybridMultilevel"/>
    <w:tmpl w:val="0B4A658C"/>
    <w:lvl w:ilvl="0" w:tplc="2AA43228">
      <w:numFmt w:val="bullet"/>
      <w:lvlText w:val="•"/>
      <w:lvlJc w:val="left"/>
      <w:pPr>
        <w:ind w:left="1272"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892FA4"/>
    <w:multiLevelType w:val="hybridMultilevel"/>
    <w:tmpl w:val="050A96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C73C77"/>
    <w:multiLevelType w:val="hybridMultilevel"/>
    <w:tmpl w:val="AAFE5A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0AF7E9E"/>
    <w:multiLevelType w:val="hybridMultilevel"/>
    <w:tmpl w:val="736A40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3786568"/>
    <w:multiLevelType w:val="hybridMultilevel"/>
    <w:tmpl w:val="350442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62C6480"/>
    <w:multiLevelType w:val="hybridMultilevel"/>
    <w:tmpl w:val="9F4007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7A182A75"/>
    <w:multiLevelType w:val="hybridMultilevel"/>
    <w:tmpl w:val="02A00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2"/>
  </w:num>
  <w:num w:numId="5">
    <w:abstractNumId w:val="4"/>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028"/>
  <w:defaultTabStop w:val="708"/>
  <w:characterSpacingControl w:val="doNotCompress"/>
  <w:compat/>
  <w:rsids>
    <w:rsidRoot w:val="00AB0912"/>
    <w:rsid w:val="00006B6E"/>
    <w:rsid w:val="00095842"/>
    <w:rsid w:val="0010445C"/>
    <w:rsid w:val="00145D32"/>
    <w:rsid w:val="00213B55"/>
    <w:rsid w:val="002150A0"/>
    <w:rsid w:val="00291AB1"/>
    <w:rsid w:val="002B7D45"/>
    <w:rsid w:val="002D78C6"/>
    <w:rsid w:val="002E6D28"/>
    <w:rsid w:val="0030337E"/>
    <w:rsid w:val="00331295"/>
    <w:rsid w:val="00373EF5"/>
    <w:rsid w:val="004876B1"/>
    <w:rsid w:val="004C4965"/>
    <w:rsid w:val="00504D18"/>
    <w:rsid w:val="00567AB6"/>
    <w:rsid w:val="005F4042"/>
    <w:rsid w:val="006A2BD2"/>
    <w:rsid w:val="0077395C"/>
    <w:rsid w:val="007A2042"/>
    <w:rsid w:val="007C6B3C"/>
    <w:rsid w:val="007F4A8C"/>
    <w:rsid w:val="009576B4"/>
    <w:rsid w:val="00A90038"/>
    <w:rsid w:val="00AB0912"/>
    <w:rsid w:val="00B17FA2"/>
    <w:rsid w:val="00B6682A"/>
    <w:rsid w:val="00BA628B"/>
    <w:rsid w:val="00BB2DEE"/>
    <w:rsid w:val="00BD010E"/>
    <w:rsid w:val="00C0766A"/>
    <w:rsid w:val="00C13B06"/>
    <w:rsid w:val="00C273EA"/>
    <w:rsid w:val="00CA11C2"/>
    <w:rsid w:val="00CB5983"/>
    <w:rsid w:val="00CF27A3"/>
    <w:rsid w:val="00D1462C"/>
    <w:rsid w:val="00DA2116"/>
    <w:rsid w:val="00DA50DA"/>
    <w:rsid w:val="00E20E4B"/>
    <w:rsid w:val="00E96CF8"/>
    <w:rsid w:val="00EF58D1"/>
    <w:rsid w:val="00F41DBE"/>
    <w:rsid w:val="00F95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B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CF27A3"/>
    <w:pPr>
      <w:spacing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CF27A3"/>
    <w:rPr>
      <w:rFonts w:ascii="Courier New" w:eastAsia="Times New Roman" w:hAnsi="Courier New" w:cs="Times New Roman"/>
      <w:sz w:val="20"/>
      <w:szCs w:val="20"/>
      <w:lang w:eastAsia="ru-RU"/>
    </w:rPr>
  </w:style>
  <w:style w:type="paragraph" w:styleId="a5">
    <w:name w:val="List Paragraph"/>
    <w:basedOn w:val="a"/>
    <w:uiPriority w:val="34"/>
    <w:qFormat/>
    <w:rsid w:val="00CF27A3"/>
    <w:pPr>
      <w:spacing w:line="240" w:lineRule="auto"/>
      <w:ind w:left="708"/>
    </w:pPr>
    <w:rPr>
      <w:rFonts w:eastAsia="Times New Roman" w:cs="Times New Roman"/>
      <w:sz w:val="24"/>
      <w:szCs w:val="24"/>
      <w:lang w:eastAsia="ru-RU"/>
    </w:rPr>
  </w:style>
  <w:style w:type="paragraph" w:styleId="3">
    <w:name w:val="Body Text Indent 3"/>
    <w:basedOn w:val="a"/>
    <w:link w:val="30"/>
    <w:uiPriority w:val="99"/>
    <w:semiHidden/>
    <w:unhideWhenUsed/>
    <w:rsid w:val="00E20E4B"/>
    <w:pPr>
      <w:spacing w:after="120" w:line="240" w:lineRule="auto"/>
      <w:ind w:left="283"/>
    </w:pPr>
    <w:rPr>
      <w:rFonts w:eastAsia="Times New Roman" w:cs="Times New Roman"/>
      <w:sz w:val="16"/>
      <w:szCs w:val="16"/>
      <w:lang w:eastAsia="ru-RU"/>
    </w:rPr>
  </w:style>
  <w:style w:type="character" w:customStyle="1" w:styleId="30">
    <w:name w:val="Основной текст с отступом 3 Знак"/>
    <w:basedOn w:val="a0"/>
    <w:link w:val="3"/>
    <w:uiPriority w:val="99"/>
    <w:semiHidden/>
    <w:rsid w:val="00E20E4B"/>
    <w:rPr>
      <w:rFonts w:eastAsia="Times New Roman" w:cs="Times New Roman"/>
      <w:sz w:val="16"/>
      <w:szCs w:val="16"/>
      <w:lang w:eastAsia="ru-RU"/>
    </w:rPr>
  </w:style>
  <w:style w:type="paragraph" w:styleId="a6">
    <w:name w:val="Body Text Indent"/>
    <w:basedOn w:val="a"/>
    <w:link w:val="a7"/>
    <w:uiPriority w:val="99"/>
    <w:semiHidden/>
    <w:unhideWhenUsed/>
    <w:rsid w:val="00DA50DA"/>
    <w:pPr>
      <w:spacing w:after="120"/>
      <w:ind w:left="283"/>
    </w:pPr>
  </w:style>
  <w:style w:type="character" w:customStyle="1" w:styleId="a7">
    <w:name w:val="Основной текст с отступом Знак"/>
    <w:basedOn w:val="a0"/>
    <w:link w:val="a6"/>
    <w:uiPriority w:val="99"/>
    <w:semiHidden/>
    <w:rsid w:val="00DA50DA"/>
  </w:style>
  <w:style w:type="paragraph" w:styleId="a8">
    <w:name w:val="Block Text"/>
    <w:basedOn w:val="a"/>
    <w:rsid w:val="004876B1"/>
    <w:pPr>
      <w:spacing w:line="360" w:lineRule="auto"/>
      <w:ind w:left="1418" w:right="79" w:hanging="1418"/>
      <w:jc w:val="both"/>
    </w:pPr>
    <w:rPr>
      <w:rFonts w:eastAsia="Times New Roman" w:cs="Times New Roman"/>
      <w:szCs w:val="20"/>
      <w:lang w:eastAsia="ru-RU"/>
    </w:rPr>
  </w:style>
  <w:style w:type="paragraph" w:styleId="a9">
    <w:name w:val="Balloon Text"/>
    <w:basedOn w:val="a"/>
    <w:link w:val="aa"/>
    <w:uiPriority w:val="99"/>
    <w:semiHidden/>
    <w:unhideWhenUsed/>
    <w:rsid w:val="00CB5983"/>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5983"/>
    <w:rPr>
      <w:rFonts w:ascii="Tahoma" w:hAnsi="Tahoma" w:cs="Tahoma"/>
      <w:sz w:val="16"/>
      <w:szCs w:val="16"/>
    </w:rPr>
  </w:style>
  <w:style w:type="paragraph" w:customStyle="1" w:styleId="ab">
    <w:name w:val="ГОСТ"/>
    <w:basedOn w:val="a"/>
    <w:rsid w:val="0077395C"/>
    <w:pPr>
      <w:spacing w:line="360" w:lineRule="auto"/>
      <w:ind w:firstLine="709"/>
      <w:jc w:val="both"/>
    </w:pPr>
    <w:rPr>
      <w:rFonts w:eastAsia="Times New Roman" w:cs="Times New Roman"/>
      <w:szCs w:val="28"/>
      <w:lang w:eastAsia="ru-RU"/>
    </w:rPr>
  </w:style>
  <w:style w:type="paragraph" w:customStyle="1" w:styleId="Default">
    <w:name w:val="Default"/>
    <w:rsid w:val="00C0766A"/>
    <w:pPr>
      <w:autoSpaceDE w:val="0"/>
      <w:autoSpaceDN w:val="0"/>
      <w:adjustRightInd w:val="0"/>
      <w:spacing w:line="240" w:lineRule="auto"/>
    </w:pPr>
    <w:rPr>
      <w:rFonts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B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CF27A3"/>
    <w:pPr>
      <w:spacing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CF27A3"/>
    <w:rPr>
      <w:rFonts w:ascii="Courier New" w:eastAsia="Times New Roman" w:hAnsi="Courier New" w:cs="Times New Roman"/>
      <w:sz w:val="20"/>
      <w:szCs w:val="20"/>
      <w:lang w:eastAsia="ru-RU"/>
    </w:rPr>
  </w:style>
  <w:style w:type="paragraph" w:styleId="a5">
    <w:name w:val="List Paragraph"/>
    <w:basedOn w:val="a"/>
    <w:uiPriority w:val="34"/>
    <w:qFormat/>
    <w:rsid w:val="00CF27A3"/>
    <w:pPr>
      <w:spacing w:line="240" w:lineRule="auto"/>
      <w:ind w:left="708"/>
    </w:pPr>
    <w:rPr>
      <w:rFonts w:eastAsia="Times New Roman" w:cs="Times New Roman"/>
      <w:sz w:val="24"/>
      <w:szCs w:val="24"/>
      <w:lang w:eastAsia="ru-RU"/>
    </w:rPr>
  </w:style>
  <w:style w:type="paragraph" w:styleId="3">
    <w:name w:val="Body Text Indent 3"/>
    <w:basedOn w:val="a"/>
    <w:link w:val="30"/>
    <w:uiPriority w:val="99"/>
    <w:semiHidden/>
    <w:unhideWhenUsed/>
    <w:rsid w:val="00E20E4B"/>
    <w:pPr>
      <w:spacing w:after="120" w:line="240" w:lineRule="auto"/>
      <w:ind w:left="283"/>
    </w:pPr>
    <w:rPr>
      <w:rFonts w:eastAsia="Times New Roman" w:cs="Times New Roman"/>
      <w:sz w:val="16"/>
      <w:szCs w:val="16"/>
      <w:lang w:eastAsia="ru-RU"/>
    </w:rPr>
  </w:style>
  <w:style w:type="character" w:customStyle="1" w:styleId="30">
    <w:name w:val="Основной текст с отступом 3 Знак"/>
    <w:basedOn w:val="a0"/>
    <w:link w:val="3"/>
    <w:uiPriority w:val="99"/>
    <w:semiHidden/>
    <w:rsid w:val="00E20E4B"/>
    <w:rPr>
      <w:rFonts w:eastAsia="Times New Roman" w:cs="Times New Roman"/>
      <w:sz w:val="16"/>
      <w:szCs w:val="16"/>
      <w:lang w:eastAsia="ru-RU"/>
    </w:rPr>
  </w:style>
  <w:style w:type="paragraph" w:styleId="a6">
    <w:name w:val="Body Text Indent"/>
    <w:basedOn w:val="a"/>
    <w:link w:val="a7"/>
    <w:uiPriority w:val="99"/>
    <w:semiHidden/>
    <w:unhideWhenUsed/>
    <w:rsid w:val="00DA50DA"/>
    <w:pPr>
      <w:spacing w:after="120"/>
      <w:ind w:left="283"/>
    </w:pPr>
  </w:style>
  <w:style w:type="character" w:customStyle="1" w:styleId="a7">
    <w:name w:val="Основной текст с отступом Знак"/>
    <w:basedOn w:val="a0"/>
    <w:link w:val="a6"/>
    <w:uiPriority w:val="99"/>
    <w:semiHidden/>
    <w:rsid w:val="00DA50DA"/>
  </w:style>
  <w:style w:type="paragraph" w:styleId="a8">
    <w:name w:val="Block Text"/>
    <w:basedOn w:val="a"/>
    <w:rsid w:val="004876B1"/>
    <w:pPr>
      <w:spacing w:line="360" w:lineRule="auto"/>
      <w:ind w:left="1418" w:right="79" w:hanging="1418"/>
      <w:jc w:val="both"/>
    </w:pPr>
    <w:rPr>
      <w:rFonts w:eastAsia="Times New Roman" w:cs="Times New Roman"/>
      <w:szCs w:val="20"/>
      <w:lang w:eastAsia="ru-RU"/>
    </w:rPr>
  </w:style>
  <w:style w:type="paragraph" w:styleId="a9">
    <w:name w:val="Balloon Text"/>
    <w:basedOn w:val="a"/>
    <w:link w:val="aa"/>
    <w:uiPriority w:val="99"/>
    <w:semiHidden/>
    <w:unhideWhenUsed/>
    <w:rsid w:val="00CB5983"/>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5983"/>
    <w:rPr>
      <w:rFonts w:ascii="Tahoma" w:hAnsi="Tahoma" w:cs="Tahoma"/>
      <w:sz w:val="16"/>
      <w:szCs w:val="16"/>
    </w:rPr>
  </w:style>
  <w:style w:type="paragraph" w:customStyle="1" w:styleId="ab">
    <w:name w:val="ГОСТ"/>
    <w:basedOn w:val="a"/>
    <w:rsid w:val="0077395C"/>
    <w:pPr>
      <w:spacing w:line="360" w:lineRule="auto"/>
      <w:ind w:firstLine="709"/>
      <w:jc w:val="both"/>
    </w:pPr>
    <w:rPr>
      <w:rFonts w:eastAsia="Times New Roman" w:cs="Times New Roman"/>
      <w:szCs w:val="28"/>
      <w:lang w:eastAsia="ru-RU"/>
    </w:rPr>
  </w:style>
  <w:style w:type="paragraph" w:customStyle="1" w:styleId="Default">
    <w:name w:val="Default"/>
    <w:rsid w:val="00C0766A"/>
    <w:pPr>
      <w:autoSpaceDE w:val="0"/>
      <w:autoSpaceDN w:val="0"/>
      <w:adjustRightInd w:val="0"/>
      <w:spacing w:line="240" w:lineRule="auto"/>
    </w:pPr>
    <w:rPr>
      <w:rFonts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947</Words>
  <Characters>5399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YOGA</cp:lastModifiedBy>
  <cp:revision>5</cp:revision>
  <dcterms:created xsi:type="dcterms:W3CDTF">2020-12-07T11:50:00Z</dcterms:created>
  <dcterms:modified xsi:type="dcterms:W3CDTF">2021-03-02T08:46:00Z</dcterms:modified>
</cp:coreProperties>
</file>