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8EAB3B" w14:textId="624C93A8" w:rsidR="00D33362" w:rsidRDefault="00674191" w:rsidP="00F26A69">
      <w:pPr>
        <w:jc w:val="center"/>
      </w:pPr>
      <w:r>
        <w:t>Тезис</w:t>
      </w:r>
      <w:r w:rsidR="00F26A69">
        <w:t>.</w:t>
      </w:r>
    </w:p>
    <w:p w14:paraId="242C8472" w14:textId="2EDD13A7" w:rsidR="003A78BF" w:rsidRDefault="005052E2" w:rsidP="00F26A69">
      <w:pPr>
        <w:spacing w:after="0" w:line="36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У</w:t>
      </w:r>
      <w:r w:rsidR="0040048F">
        <w:rPr>
          <w:rFonts w:cs="Times New Roman"/>
          <w:szCs w:val="28"/>
        </w:rPr>
        <w:t xml:space="preserve"> высших растений </w:t>
      </w:r>
      <w:r>
        <w:rPr>
          <w:rFonts w:cs="Times New Roman"/>
          <w:szCs w:val="28"/>
        </w:rPr>
        <w:t xml:space="preserve">реакции фотосинтеза </w:t>
      </w:r>
      <w:r w:rsidR="0040048F">
        <w:rPr>
          <w:rFonts w:cs="Times New Roman"/>
          <w:szCs w:val="28"/>
        </w:rPr>
        <w:t>протекают</w:t>
      </w:r>
      <w:r>
        <w:rPr>
          <w:rFonts w:cs="Times New Roman"/>
          <w:szCs w:val="28"/>
        </w:rPr>
        <w:t xml:space="preserve"> в хлоропластах. </w:t>
      </w:r>
      <w:r w:rsidR="0040048F">
        <w:rPr>
          <w:rFonts w:cs="Times New Roman"/>
          <w:szCs w:val="28"/>
        </w:rPr>
        <w:t>Ключевую роль в процесс</w:t>
      </w:r>
      <w:r w:rsidR="00834ECA">
        <w:rPr>
          <w:rFonts w:cs="Times New Roman"/>
          <w:szCs w:val="28"/>
        </w:rPr>
        <w:t>ах фотосинтеза</w:t>
      </w:r>
      <w:r w:rsidR="0040048F">
        <w:rPr>
          <w:rFonts w:cs="Times New Roman"/>
          <w:szCs w:val="28"/>
        </w:rPr>
        <w:t xml:space="preserve"> играют реакции электронного и протонного транспорта, которые происходят в мембранах </w:t>
      </w:r>
      <w:proofErr w:type="spellStart"/>
      <w:r w:rsidR="0040048F">
        <w:rPr>
          <w:rFonts w:cs="Times New Roman"/>
          <w:szCs w:val="28"/>
        </w:rPr>
        <w:t>тилакоидов</w:t>
      </w:r>
      <w:proofErr w:type="spellEnd"/>
      <w:r w:rsidR="0040048F">
        <w:rPr>
          <w:rFonts w:cs="Times New Roman"/>
          <w:szCs w:val="28"/>
        </w:rPr>
        <w:t xml:space="preserve">. </w:t>
      </w:r>
      <w:r w:rsidR="003A78BF">
        <w:rPr>
          <w:rFonts w:cs="Times New Roman"/>
          <w:szCs w:val="28"/>
        </w:rPr>
        <w:t xml:space="preserve">Перенос электронов от воды </w:t>
      </w:r>
      <w:r w:rsidR="00834ECA">
        <w:rPr>
          <w:rFonts w:cs="Times New Roman"/>
          <w:szCs w:val="28"/>
        </w:rPr>
        <w:t>к</w:t>
      </w:r>
      <w:r w:rsidR="003A78BF">
        <w:rPr>
          <w:rFonts w:cs="Times New Roman"/>
          <w:szCs w:val="28"/>
        </w:rPr>
        <w:t xml:space="preserve"> </w:t>
      </w:r>
      <w:r w:rsidR="003A78BF">
        <w:rPr>
          <w:rFonts w:cs="Times New Roman"/>
          <w:szCs w:val="28"/>
          <w:lang w:val="en-US"/>
        </w:rPr>
        <w:t>NADP</w:t>
      </w:r>
      <w:r w:rsidR="00834ECA" w:rsidRPr="00834ECA">
        <w:rPr>
          <w:rFonts w:cs="Times New Roman"/>
          <w:szCs w:val="28"/>
          <w:vertAlign w:val="superscript"/>
        </w:rPr>
        <w:t>+</w:t>
      </w:r>
      <w:r w:rsidR="003A78BF" w:rsidRPr="004A1EC9">
        <w:rPr>
          <w:rFonts w:cs="Times New Roman"/>
          <w:szCs w:val="28"/>
        </w:rPr>
        <w:t xml:space="preserve"> </w:t>
      </w:r>
      <w:r w:rsidR="00834ECA">
        <w:rPr>
          <w:rFonts w:cs="Times New Roman"/>
          <w:szCs w:val="28"/>
        </w:rPr>
        <w:t xml:space="preserve">происходит с участием молекул </w:t>
      </w:r>
      <w:proofErr w:type="spellStart"/>
      <w:r w:rsidR="003A78BF">
        <w:rPr>
          <w:rFonts w:cs="Times New Roman"/>
          <w:szCs w:val="28"/>
        </w:rPr>
        <w:t>пластохинона</w:t>
      </w:r>
      <w:proofErr w:type="spellEnd"/>
      <w:r w:rsidR="003A78BF">
        <w:rPr>
          <w:rFonts w:cs="Times New Roman"/>
          <w:szCs w:val="28"/>
        </w:rPr>
        <w:t>, котор</w:t>
      </w:r>
      <w:r w:rsidR="00834ECA">
        <w:rPr>
          <w:rFonts w:cs="Times New Roman"/>
          <w:szCs w:val="28"/>
        </w:rPr>
        <w:t>ые</w:t>
      </w:r>
      <w:r w:rsidR="003A78BF">
        <w:rPr>
          <w:rFonts w:cs="Times New Roman"/>
          <w:szCs w:val="28"/>
        </w:rPr>
        <w:t xml:space="preserve"> принима</w:t>
      </w:r>
      <w:r w:rsidR="00834ECA">
        <w:rPr>
          <w:rFonts w:cs="Times New Roman"/>
          <w:szCs w:val="28"/>
        </w:rPr>
        <w:t>ю</w:t>
      </w:r>
      <w:r w:rsidR="003A78BF">
        <w:rPr>
          <w:rFonts w:cs="Times New Roman"/>
          <w:szCs w:val="28"/>
        </w:rPr>
        <w:t>т электрон</w:t>
      </w:r>
      <w:r w:rsidR="00834ECA">
        <w:rPr>
          <w:rFonts w:cs="Times New Roman"/>
          <w:szCs w:val="28"/>
        </w:rPr>
        <w:t>ы</w:t>
      </w:r>
      <w:r w:rsidR="003A78BF">
        <w:rPr>
          <w:rFonts w:cs="Times New Roman"/>
          <w:szCs w:val="28"/>
        </w:rPr>
        <w:t xml:space="preserve"> от фотосистемы 1 и переда</w:t>
      </w:r>
      <w:r w:rsidR="00834ECA">
        <w:rPr>
          <w:rFonts w:cs="Times New Roman"/>
          <w:szCs w:val="28"/>
        </w:rPr>
        <w:t>ю</w:t>
      </w:r>
      <w:r w:rsidR="003A78BF">
        <w:rPr>
          <w:rFonts w:cs="Times New Roman"/>
          <w:szCs w:val="28"/>
        </w:rPr>
        <w:t xml:space="preserve">т </w:t>
      </w:r>
      <w:r w:rsidR="00834ECA">
        <w:rPr>
          <w:rFonts w:cs="Times New Roman"/>
          <w:szCs w:val="28"/>
        </w:rPr>
        <w:t xml:space="preserve">их </w:t>
      </w:r>
      <w:proofErr w:type="spellStart"/>
      <w:r w:rsidR="003A78BF">
        <w:rPr>
          <w:rFonts w:cs="Times New Roman"/>
          <w:szCs w:val="28"/>
        </w:rPr>
        <w:t>цитохромному</w:t>
      </w:r>
      <w:proofErr w:type="spellEnd"/>
      <w:r w:rsidR="003A78BF">
        <w:rPr>
          <w:rFonts w:cs="Times New Roman"/>
          <w:szCs w:val="28"/>
        </w:rPr>
        <w:t xml:space="preserve"> </w:t>
      </w:r>
      <w:r w:rsidR="003A78BF">
        <w:rPr>
          <w:rFonts w:cs="Times New Roman"/>
          <w:szCs w:val="28"/>
          <w:lang w:val="en-US"/>
        </w:rPr>
        <w:t>b</w:t>
      </w:r>
      <w:r w:rsidR="003A78BF" w:rsidRPr="004A1EC9">
        <w:rPr>
          <w:rFonts w:cs="Times New Roman"/>
          <w:szCs w:val="28"/>
          <w:vertAlign w:val="subscript"/>
        </w:rPr>
        <w:t>6</w:t>
      </w:r>
      <w:r w:rsidR="003A78BF">
        <w:rPr>
          <w:rFonts w:cs="Times New Roman"/>
          <w:szCs w:val="28"/>
          <w:lang w:val="en-US"/>
        </w:rPr>
        <w:t>f</w:t>
      </w:r>
      <w:r w:rsidR="003A78BF" w:rsidRPr="004A1EC9">
        <w:rPr>
          <w:rFonts w:cs="Times New Roman"/>
          <w:szCs w:val="28"/>
        </w:rPr>
        <w:t xml:space="preserve"> </w:t>
      </w:r>
      <w:r w:rsidR="003A78BF">
        <w:rPr>
          <w:rFonts w:cs="Times New Roman"/>
          <w:szCs w:val="28"/>
        </w:rPr>
        <w:t>комплексу.</w:t>
      </w:r>
      <w:r w:rsidR="00834ECA">
        <w:rPr>
          <w:rFonts w:cs="Times New Roman"/>
          <w:szCs w:val="28"/>
        </w:rPr>
        <w:t xml:space="preserve"> В</w:t>
      </w:r>
      <w:r w:rsidR="003A78BF">
        <w:rPr>
          <w:rFonts w:cs="Times New Roman"/>
          <w:szCs w:val="28"/>
        </w:rPr>
        <w:t xml:space="preserve">заимодействие </w:t>
      </w:r>
      <w:proofErr w:type="spellStart"/>
      <w:r w:rsidR="003A78BF">
        <w:rPr>
          <w:rFonts w:cs="Times New Roman"/>
          <w:szCs w:val="28"/>
        </w:rPr>
        <w:t>пластохинола</w:t>
      </w:r>
      <w:proofErr w:type="spellEnd"/>
      <w:r w:rsidR="003A78BF">
        <w:rPr>
          <w:rFonts w:cs="Times New Roman"/>
          <w:szCs w:val="28"/>
        </w:rPr>
        <w:t xml:space="preserve"> </w:t>
      </w:r>
      <w:r w:rsidR="003A78BF">
        <w:rPr>
          <w:rFonts w:cs="Times New Roman"/>
          <w:szCs w:val="28"/>
          <w:lang w:val="en-US"/>
        </w:rPr>
        <w:t>c</w:t>
      </w:r>
      <w:r w:rsidR="003A78BF" w:rsidRPr="001930A0">
        <w:rPr>
          <w:rFonts w:cs="Times New Roman"/>
          <w:szCs w:val="28"/>
        </w:rPr>
        <w:t xml:space="preserve"> </w:t>
      </w:r>
      <w:r w:rsidR="00834ECA" w:rsidRPr="00CE69DE">
        <w:rPr>
          <w:rFonts w:cs="Times New Roman"/>
          <w:szCs w:val="28"/>
          <w:lang w:val="en-US"/>
        </w:rPr>
        <w:t>b</w:t>
      </w:r>
      <w:r w:rsidR="00834ECA">
        <w:rPr>
          <w:rFonts w:cs="Times New Roman"/>
          <w:szCs w:val="28"/>
          <w:vertAlign w:val="subscript"/>
        </w:rPr>
        <w:t>6</w:t>
      </w:r>
      <w:r w:rsidR="00834ECA" w:rsidRPr="00CE69DE">
        <w:rPr>
          <w:rFonts w:cs="Times New Roman"/>
          <w:szCs w:val="28"/>
          <w:lang w:val="en-US"/>
        </w:rPr>
        <w:t>f</w:t>
      </w:r>
      <w:r w:rsidR="00834ECA">
        <w:rPr>
          <w:rFonts w:cs="Times New Roman"/>
          <w:szCs w:val="28"/>
        </w:rPr>
        <w:t xml:space="preserve"> </w:t>
      </w:r>
      <w:r w:rsidR="003A78BF">
        <w:rPr>
          <w:rFonts w:cs="Times New Roman"/>
          <w:szCs w:val="28"/>
        </w:rPr>
        <w:t>комплексом является лимитирующ</w:t>
      </w:r>
      <w:r w:rsidR="00834ECA">
        <w:rPr>
          <w:rFonts w:cs="Times New Roman"/>
          <w:szCs w:val="28"/>
        </w:rPr>
        <w:t>ей стадией</w:t>
      </w:r>
      <w:r w:rsidR="003A78BF">
        <w:rPr>
          <w:rFonts w:cs="Times New Roman"/>
          <w:szCs w:val="28"/>
        </w:rPr>
        <w:t xml:space="preserve"> в цепи процессов электронного транспорта между </w:t>
      </w:r>
      <w:r w:rsidR="00834ECA">
        <w:rPr>
          <w:rFonts w:cs="Times New Roman"/>
          <w:szCs w:val="28"/>
        </w:rPr>
        <w:t>фотосистемами 2 и 1</w:t>
      </w:r>
      <w:r w:rsidR="003A78BF" w:rsidRPr="00CE69DE">
        <w:rPr>
          <w:rFonts w:cs="Times New Roman"/>
          <w:szCs w:val="28"/>
        </w:rPr>
        <w:t>.</w:t>
      </w:r>
      <w:r w:rsidR="003A78BF">
        <w:rPr>
          <w:rFonts w:cs="Times New Roman"/>
          <w:szCs w:val="28"/>
        </w:rPr>
        <w:t xml:space="preserve"> </w:t>
      </w:r>
    </w:p>
    <w:p w14:paraId="135ECAC5" w14:textId="35F39C91" w:rsidR="004E15DC" w:rsidRDefault="003A78BF" w:rsidP="00F26A69">
      <w:pPr>
        <w:spacing w:after="0" w:line="360" w:lineRule="auto"/>
        <w:jc w:val="both"/>
      </w:pPr>
      <w:r>
        <w:rPr>
          <w:rFonts w:cs="Times New Roman"/>
          <w:szCs w:val="28"/>
        </w:rPr>
        <w:t xml:space="preserve">Для </w:t>
      </w:r>
      <w:r w:rsidR="001C3093">
        <w:rPr>
          <w:rFonts w:cs="Times New Roman"/>
          <w:szCs w:val="28"/>
        </w:rPr>
        <w:t>моделирова</w:t>
      </w:r>
      <w:r w:rsidR="005052E2">
        <w:rPr>
          <w:rFonts w:cs="Times New Roman"/>
          <w:szCs w:val="28"/>
        </w:rPr>
        <w:t>ния</w:t>
      </w:r>
      <w:r>
        <w:rPr>
          <w:rFonts w:cs="Times New Roman"/>
          <w:szCs w:val="28"/>
        </w:rPr>
        <w:t xml:space="preserve"> диффузи</w:t>
      </w:r>
      <w:r w:rsidR="005052E2">
        <w:rPr>
          <w:rFonts w:cs="Times New Roman"/>
          <w:szCs w:val="28"/>
        </w:rPr>
        <w:t>и</w:t>
      </w:r>
      <w:r>
        <w:rPr>
          <w:rFonts w:cs="Times New Roman"/>
          <w:szCs w:val="28"/>
        </w:rPr>
        <w:t xml:space="preserve"> </w:t>
      </w:r>
      <w:r w:rsidR="005052E2">
        <w:rPr>
          <w:rFonts w:cs="Times New Roman"/>
          <w:szCs w:val="28"/>
        </w:rPr>
        <w:t xml:space="preserve">липидов и латерального </w:t>
      </w:r>
      <w:r>
        <w:rPr>
          <w:rFonts w:cs="Times New Roman"/>
          <w:szCs w:val="28"/>
        </w:rPr>
        <w:t>перенос</w:t>
      </w:r>
      <w:r w:rsidR="005052E2">
        <w:rPr>
          <w:rFonts w:cs="Times New Roman"/>
          <w:szCs w:val="28"/>
        </w:rPr>
        <w:t xml:space="preserve">а </w:t>
      </w:r>
      <w:proofErr w:type="spellStart"/>
      <w:r w:rsidR="005052E2">
        <w:rPr>
          <w:rFonts w:cs="Times New Roman"/>
          <w:szCs w:val="28"/>
        </w:rPr>
        <w:t>пластохинола</w:t>
      </w:r>
      <w:proofErr w:type="spellEnd"/>
      <w:r>
        <w:rPr>
          <w:rFonts w:cs="Times New Roman"/>
          <w:szCs w:val="28"/>
        </w:rPr>
        <w:t xml:space="preserve"> </w:t>
      </w:r>
      <w:r w:rsidR="005052E2">
        <w:rPr>
          <w:rFonts w:cs="Times New Roman"/>
          <w:szCs w:val="28"/>
        </w:rPr>
        <w:t>в мембране</w:t>
      </w:r>
      <w:r w:rsidR="005052E2" w:rsidRPr="005052E2">
        <w:rPr>
          <w:rFonts w:cs="Times New Roman"/>
          <w:szCs w:val="28"/>
        </w:rPr>
        <w:t xml:space="preserve"> </w:t>
      </w:r>
      <w:r w:rsidR="005052E2">
        <w:rPr>
          <w:rFonts w:cs="Times New Roman"/>
          <w:szCs w:val="28"/>
        </w:rPr>
        <w:t>методом молекулярной динамики</w:t>
      </w:r>
      <w:r>
        <w:rPr>
          <w:rFonts w:cs="Times New Roman"/>
          <w:szCs w:val="28"/>
        </w:rPr>
        <w:t xml:space="preserve">, </w:t>
      </w:r>
      <w:r w:rsidR="005052E2">
        <w:rPr>
          <w:rFonts w:cs="Times New Roman"/>
          <w:szCs w:val="28"/>
        </w:rPr>
        <w:t>построена</w:t>
      </w:r>
      <w:r>
        <w:rPr>
          <w:rFonts w:cs="Times New Roman"/>
          <w:szCs w:val="28"/>
        </w:rPr>
        <w:t xml:space="preserve"> упрощенная модель </w:t>
      </w:r>
      <w:proofErr w:type="spellStart"/>
      <w:r>
        <w:rPr>
          <w:rFonts w:cs="Times New Roman"/>
          <w:szCs w:val="28"/>
        </w:rPr>
        <w:t>тилакоидной</w:t>
      </w:r>
      <w:proofErr w:type="spellEnd"/>
      <w:r>
        <w:rPr>
          <w:rFonts w:cs="Times New Roman"/>
          <w:szCs w:val="28"/>
        </w:rPr>
        <w:t xml:space="preserve"> мембраны.</w:t>
      </w:r>
      <w:r w:rsidR="001C3093">
        <w:rPr>
          <w:rFonts w:cs="Times New Roman"/>
          <w:szCs w:val="28"/>
        </w:rPr>
        <w:t xml:space="preserve"> </w:t>
      </w:r>
      <w:r w:rsidR="005052E2">
        <w:t xml:space="preserve">Моделирование проводится с использованием силового поля </w:t>
      </w:r>
      <w:r w:rsidR="005052E2">
        <w:rPr>
          <w:lang w:val="en-US"/>
        </w:rPr>
        <w:t>CHARMM</w:t>
      </w:r>
      <w:r w:rsidR="005052E2" w:rsidRPr="00167F10">
        <w:t xml:space="preserve"> </w:t>
      </w:r>
      <w:r w:rsidR="005052E2">
        <w:t xml:space="preserve">в пакете для молекулярной динамики </w:t>
      </w:r>
      <w:r w:rsidR="005052E2">
        <w:rPr>
          <w:lang w:val="en-US"/>
        </w:rPr>
        <w:t>GROMACS</w:t>
      </w:r>
      <w:r w:rsidR="005052E2" w:rsidRPr="00167F10">
        <w:t xml:space="preserve">. </w:t>
      </w:r>
      <w:r w:rsidR="00167F10">
        <w:t xml:space="preserve">С помощью программы </w:t>
      </w:r>
      <w:r w:rsidR="00167F10">
        <w:rPr>
          <w:lang w:val="en-US"/>
        </w:rPr>
        <w:t>Membrane</w:t>
      </w:r>
      <w:r w:rsidR="00167F10" w:rsidRPr="00167F10">
        <w:t xml:space="preserve"> </w:t>
      </w:r>
      <w:r w:rsidR="00167F10">
        <w:rPr>
          <w:lang w:val="en-US"/>
        </w:rPr>
        <w:t>Builder</w:t>
      </w:r>
      <w:r w:rsidR="00167F10" w:rsidRPr="00167F10">
        <w:t xml:space="preserve"> </w:t>
      </w:r>
      <w:r w:rsidR="005052E2">
        <w:t>в пакете программ</w:t>
      </w:r>
      <w:r w:rsidR="00167F10">
        <w:t xml:space="preserve"> </w:t>
      </w:r>
      <w:r w:rsidR="00167F10">
        <w:rPr>
          <w:lang w:val="en-US"/>
        </w:rPr>
        <w:t>CHARMM</w:t>
      </w:r>
      <w:r w:rsidR="00167F10" w:rsidRPr="00167F10">
        <w:t>-</w:t>
      </w:r>
      <w:r w:rsidR="00167F10">
        <w:rPr>
          <w:lang w:val="en-US"/>
        </w:rPr>
        <w:t>GUI</w:t>
      </w:r>
      <w:r w:rsidR="00167F10" w:rsidRPr="00167F10">
        <w:t xml:space="preserve"> </w:t>
      </w:r>
      <w:r>
        <w:t>построена система мембраны</w:t>
      </w:r>
      <w:r w:rsidR="00167F10">
        <w:t>, содержащая 4 типа липидов</w:t>
      </w:r>
      <w:r w:rsidR="004E15DC">
        <w:t xml:space="preserve">: </w:t>
      </w:r>
      <w:r w:rsidR="004E15DC">
        <w:rPr>
          <w:lang w:val="en-US"/>
        </w:rPr>
        <w:t>MGDG</w:t>
      </w:r>
      <w:r w:rsidR="009E2BD6" w:rsidRPr="009E2BD6">
        <w:t xml:space="preserve"> (</w:t>
      </w:r>
      <w:proofErr w:type="spellStart"/>
      <w:r w:rsidR="009E2BD6">
        <w:rPr>
          <w:lang w:val="en-US"/>
        </w:rPr>
        <w:t>Monogalactosyldiacylglycerol</w:t>
      </w:r>
      <w:proofErr w:type="spellEnd"/>
      <w:r w:rsidR="009E2BD6" w:rsidRPr="009E2BD6">
        <w:t>)</w:t>
      </w:r>
      <w:r w:rsidR="004E15DC" w:rsidRPr="004E15DC">
        <w:t xml:space="preserve">, </w:t>
      </w:r>
      <w:r w:rsidR="004E15DC">
        <w:rPr>
          <w:lang w:val="en-US"/>
        </w:rPr>
        <w:t>DGDG</w:t>
      </w:r>
      <w:r w:rsidR="009E2BD6" w:rsidRPr="009E2BD6">
        <w:t xml:space="preserve"> (</w:t>
      </w:r>
      <w:proofErr w:type="spellStart"/>
      <w:r w:rsidR="009E2BD6">
        <w:rPr>
          <w:lang w:val="en-US"/>
        </w:rPr>
        <w:t>Digalactosyldiacylglycerol</w:t>
      </w:r>
      <w:proofErr w:type="spellEnd"/>
      <w:r w:rsidR="009E2BD6" w:rsidRPr="009E2BD6">
        <w:t>)</w:t>
      </w:r>
      <w:r w:rsidR="004E15DC" w:rsidRPr="004E15DC">
        <w:t xml:space="preserve">, </w:t>
      </w:r>
      <w:r w:rsidR="004E15DC">
        <w:rPr>
          <w:lang w:val="en-US"/>
        </w:rPr>
        <w:t>SQDG</w:t>
      </w:r>
      <w:r w:rsidR="009E2BD6" w:rsidRPr="009E2BD6">
        <w:t xml:space="preserve"> (</w:t>
      </w:r>
      <w:proofErr w:type="spellStart"/>
      <w:r w:rsidR="009E2BD6">
        <w:rPr>
          <w:lang w:val="en-US"/>
        </w:rPr>
        <w:t>Sulfoquinovosyldiacylglycerol</w:t>
      </w:r>
      <w:proofErr w:type="spellEnd"/>
      <w:r w:rsidR="009E2BD6" w:rsidRPr="009E2BD6">
        <w:t>)</w:t>
      </w:r>
      <w:r w:rsidR="004E15DC">
        <w:t xml:space="preserve">, </w:t>
      </w:r>
      <w:r w:rsidR="004E15DC">
        <w:rPr>
          <w:lang w:val="en-US"/>
        </w:rPr>
        <w:t>PG</w:t>
      </w:r>
      <w:r w:rsidR="009E2BD6" w:rsidRPr="009E2BD6">
        <w:t xml:space="preserve"> (</w:t>
      </w:r>
      <w:proofErr w:type="spellStart"/>
      <w:r w:rsidR="009E2BD6">
        <w:rPr>
          <w:lang w:val="en-US"/>
        </w:rPr>
        <w:t>Phosphatidylglycerol</w:t>
      </w:r>
      <w:proofErr w:type="spellEnd"/>
      <w:r w:rsidR="009E2BD6" w:rsidRPr="009E2BD6">
        <w:t>)</w:t>
      </w:r>
      <w:r w:rsidR="00027A81">
        <w:t>,</w:t>
      </w:r>
      <w:r w:rsidR="00027A81" w:rsidRPr="00027A81">
        <w:t xml:space="preserve"> </w:t>
      </w:r>
      <w:r w:rsidR="009E2BD6">
        <w:t>с водным окружением и заданной</w:t>
      </w:r>
      <w:r w:rsidR="00027A81">
        <w:t xml:space="preserve"> </w:t>
      </w:r>
      <w:r w:rsidR="009E2BD6">
        <w:t xml:space="preserve">концентрацией </w:t>
      </w:r>
      <w:r w:rsidR="00AF3E95" w:rsidRPr="00AF3E95">
        <w:t xml:space="preserve">100 </w:t>
      </w:r>
      <w:proofErr w:type="spellStart"/>
      <w:r w:rsidR="00AF3E95">
        <w:t>мМ</w:t>
      </w:r>
      <w:proofErr w:type="spellEnd"/>
      <w:r w:rsidR="00AF3E95">
        <w:t xml:space="preserve"> </w:t>
      </w:r>
      <w:proofErr w:type="spellStart"/>
      <w:r w:rsidR="00AF3E95">
        <w:rPr>
          <w:lang w:val="en-US"/>
        </w:rPr>
        <w:t>NaCl</w:t>
      </w:r>
      <w:proofErr w:type="spellEnd"/>
      <w:r w:rsidR="00AF3E95" w:rsidRPr="00AF3E95">
        <w:t xml:space="preserve"> </w:t>
      </w:r>
      <w:r w:rsidR="00AF3E95">
        <w:t xml:space="preserve">и 30 </w:t>
      </w:r>
      <w:proofErr w:type="spellStart"/>
      <w:r w:rsidR="00AF3E95">
        <w:t>мМ</w:t>
      </w:r>
      <w:proofErr w:type="spellEnd"/>
      <w:r w:rsidR="00AF3E95">
        <w:t xml:space="preserve"> </w:t>
      </w:r>
      <w:proofErr w:type="spellStart"/>
      <w:r w:rsidR="00AF3E95">
        <w:rPr>
          <w:lang w:val="en-US"/>
        </w:rPr>
        <w:t>MgCl</w:t>
      </w:r>
      <w:proofErr w:type="spellEnd"/>
      <w:r w:rsidR="00AF3E95" w:rsidRPr="00AF3E95">
        <w:rPr>
          <w:vertAlign w:val="subscript"/>
        </w:rPr>
        <w:t>2</w:t>
      </w:r>
      <w:r>
        <w:t xml:space="preserve">. </w:t>
      </w:r>
      <w:r w:rsidR="005052E2">
        <w:t>Изучены</w:t>
      </w:r>
      <w:r w:rsidR="00167F10">
        <w:t xml:space="preserve"> </w:t>
      </w:r>
      <w:r w:rsidR="005052E2">
        <w:t xml:space="preserve">трансмембранные профили </w:t>
      </w:r>
      <w:r w:rsidR="00167F10">
        <w:t>параметр</w:t>
      </w:r>
      <w:r w:rsidR="005052E2">
        <w:t>а</w:t>
      </w:r>
      <w:r w:rsidR="00167F10">
        <w:t xml:space="preserve"> упорядоченности липидов </w:t>
      </w:r>
      <w:r w:rsidR="005052E2">
        <w:t xml:space="preserve">и </w:t>
      </w:r>
      <w:r w:rsidR="00167F10">
        <w:t>распределение ионов у поверхности</w:t>
      </w:r>
      <w:r w:rsidR="005052E2" w:rsidRPr="005052E2">
        <w:t xml:space="preserve"> </w:t>
      </w:r>
      <w:r w:rsidR="005052E2">
        <w:t>мембраны</w:t>
      </w:r>
      <w:r w:rsidR="00167F10">
        <w:t>.</w:t>
      </w:r>
      <w:r w:rsidR="005052E2">
        <w:t xml:space="preserve"> Показано, что </w:t>
      </w:r>
      <w:r w:rsidR="0001322D">
        <w:t xml:space="preserve">рассчитанные в рамках нашей модели </w:t>
      </w:r>
      <w:r w:rsidR="005052E2">
        <w:t>коэффициенты латераль</w:t>
      </w:r>
      <w:r w:rsidR="004E15DC">
        <w:t xml:space="preserve">ной диффузии липидов составляют </w:t>
      </w:r>
    </w:p>
    <w:p w14:paraId="48DFBAED" w14:textId="63EFA1A3" w:rsidR="004E15DC" w:rsidRDefault="004E30B4" w:rsidP="004E15DC">
      <w:pPr>
        <w:pStyle w:val="a3"/>
        <w:numPr>
          <w:ilvl w:val="0"/>
          <w:numId w:val="2"/>
        </w:numPr>
        <w:spacing w:after="0" w:line="360" w:lineRule="auto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1.87±0.27</m:t>
            </m:r>
          </m:e>
        </m:d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eastAsiaTheme="minorEastAsia" w:hAnsi="Cambria Math"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-7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с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м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/с</m:t>
        </m:r>
      </m:oMath>
      <w:r w:rsidR="004E15DC">
        <w:rPr>
          <w:rFonts w:eastAsiaTheme="minorEastAsia"/>
        </w:rPr>
        <w:t xml:space="preserve">  </w:t>
      </w:r>
      <w:proofErr w:type="gramStart"/>
      <w:r w:rsidR="004E15DC">
        <w:rPr>
          <w:rFonts w:eastAsiaTheme="minorEastAsia"/>
        </w:rPr>
        <w:t>для</w:t>
      </w:r>
      <w:proofErr w:type="gramEnd"/>
      <w:r w:rsidR="004E15DC">
        <w:rPr>
          <w:rFonts w:eastAsiaTheme="minorEastAsia"/>
        </w:rPr>
        <w:t xml:space="preserve"> </w:t>
      </w:r>
      <w:r w:rsidR="004E15DC" w:rsidRPr="004E30B4">
        <w:rPr>
          <w:rFonts w:eastAsiaTheme="minorEastAsia"/>
          <w:lang w:val="en-US"/>
        </w:rPr>
        <w:t>MGDG</w:t>
      </w:r>
    </w:p>
    <w:p w14:paraId="4A12FDB9" w14:textId="04CC2939" w:rsidR="004E15DC" w:rsidRDefault="004E30B4" w:rsidP="004E15DC">
      <w:pPr>
        <w:pStyle w:val="a3"/>
        <w:numPr>
          <w:ilvl w:val="0"/>
          <w:numId w:val="2"/>
        </w:numPr>
        <w:spacing w:after="0" w:line="360" w:lineRule="auto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2.14±0.14</m:t>
            </m:r>
          </m:e>
        </m:d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eastAsiaTheme="minorEastAsia" w:hAnsi="Cambria Math"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-7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с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м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/с</m:t>
        </m:r>
      </m:oMath>
      <w:r w:rsidR="004E15DC">
        <w:rPr>
          <w:rFonts w:eastAsiaTheme="minorEastAsia"/>
        </w:rPr>
        <w:t xml:space="preserve"> </w:t>
      </w:r>
      <w:r w:rsidR="00027A81">
        <w:rPr>
          <w:rFonts w:eastAsiaTheme="minorEastAsia"/>
        </w:rPr>
        <w:t xml:space="preserve"> </w:t>
      </w:r>
      <w:proofErr w:type="gramStart"/>
      <w:r w:rsidR="004E15DC">
        <w:rPr>
          <w:rFonts w:eastAsiaTheme="minorEastAsia"/>
        </w:rPr>
        <w:t>для</w:t>
      </w:r>
      <w:proofErr w:type="gramEnd"/>
      <w:r w:rsidR="004E15DC">
        <w:rPr>
          <w:rFonts w:eastAsiaTheme="minorEastAsia"/>
        </w:rPr>
        <w:t xml:space="preserve"> </w:t>
      </w:r>
      <w:r w:rsidR="004E15DC" w:rsidRPr="004E30B4">
        <w:rPr>
          <w:rFonts w:eastAsiaTheme="minorEastAsia"/>
          <w:lang w:val="en-US"/>
        </w:rPr>
        <w:t>DGDG</w:t>
      </w:r>
    </w:p>
    <w:p w14:paraId="559C8410" w14:textId="2756109A" w:rsidR="004E15DC" w:rsidRDefault="004E30B4" w:rsidP="004E15DC">
      <w:pPr>
        <w:pStyle w:val="a3"/>
        <w:numPr>
          <w:ilvl w:val="0"/>
          <w:numId w:val="2"/>
        </w:numPr>
        <w:spacing w:after="0" w:line="360" w:lineRule="auto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3.06±0.91</m:t>
            </m:r>
          </m:e>
        </m:d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eastAsiaTheme="minorEastAsia" w:hAnsi="Cambria Math"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-7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с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м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/с</m:t>
        </m:r>
      </m:oMath>
      <w:r w:rsidR="004E15DC" w:rsidRPr="004E15DC">
        <w:rPr>
          <w:rFonts w:eastAsiaTheme="minorEastAsia"/>
        </w:rPr>
        <w:t xml:space="preserve"> </w:t>
      </w:r>
      <w:proofErr w:type="gramStart"/>
      <w:r w:rsidR="004E15DC">
        <w:rPr>
          <w:rFonts w:eastAsiaTheme="minorEastAsia"/>
        </w:rPr>
        <w:t>для</w:t>
      </w:r>
      <w:proofErr w:type="gramEnd"/>
      <w:r w:rsidR="004E15DC">
        <w:rPr>
          <w:rFonts w:eastAsiaTheme="minorEastAsia"/>
        </w:rPr>
        <w:t xml:space="preserve"> </w:t>
      </w:r>
      <w:r w:rsidR="004E15DC" w:rsidRPr="004E30B4">
        <w:rPr>
          <w:rFonts w:eastAsiaTheme="minorEastAsia"/>
          <w:lang w:val="en-US"/>
        </w:rPr>
        <w:t>SQDG</w:t>
      </w:r>
    </w:p>
    <w:p w14:paraId="3D1334B9" w14:textId="286854BA" w:rsidR="004E15DC" w:rsidRDefault="004E30B4" w:rsidP="004E15DC">
      <w:pPr>
        <w:pStyle w:val="a3"/>
        <w:numPr>
          <w:ilvl w:val="0"/>
          <w:numId w:val="2"/>
        </w:numPr>
        <w:spacing w:after="0" w:line="360" w:lineRule="auto"/>
        <w:jc w:val="both"/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  <m:r>
          <w:rPr>
            <w:rFonts w:ascii="Cambria Math" w:eastAsiaTheme="minorEastAsia" w:hAnsi="Cambria Math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1.88±0.63</m:t>
            </m:r>
          </m:e>
        </m:d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  <m:r>
          <m:rPr>
            <m:sty m:val="p"/>
          </m:rPr>
          <w:rPr>
            <w:rFonts w:ascii="Cambria Math" w:hAnsi="Cambria Math"/>
          </w:rPr>
          <m:t>×</m:t>
        </m:r>
        <m:sSup>
          <m:sSupPr>
            <m:ctrlPr>
              <w:rPr>
                <w:rFonts w:ascii="Cambria Math" w:eastAsiaTheme="minorEastAsia" w:hAnsi="Cambria Math"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10</m:t>
            </m:r>
          </m:e>
          <m:sup>
            <m:r>
              <w:rPr>
                <w:rFonts w:ascii="Cambria Math" w:eastAsiaTheme="minorEastAsia" w:hAnsi="Cambria Math"/>
              </w:rPr>
              <m:t>-7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с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м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/с</m:t>
        </m:r>
      </m:oMath>
      <w:r w:rsidR="004E15DC" w:rsidRPr="004E15DC">
        <w:rPr>
          <w:rFonts w:eastAsiaTheme="minorEastAsia"/>
        </w:rPr>
        <w:t xml:space="preserve"> </w:t>
      </w:r>
      <w:proofErr w:type="gramStart"/>
      <w:r w:rsidR="004E15DC">
        <w:rPr>
          <w:rFonts w:eastAsiaTheme="minorEastAsia"/>
        </w:rPr>
        <w:t>для</w:t>
      </w:r>
      <w:proofErr w:type="gramEnd"/>
      <w:r w:rsidR="004E15DC">
        <w:rPr>
          <w:rFonts w:eastAsiaTheme="minorEastAsia"/>
        </w:rPr>
        <w:t xml:space="preserve"> </w:t>
      </w:r>
      <w:r w:rsidR="004E15DC" w:rsidRPr="004E30B4">
        <w:rPr>
          <w:rFonts w:eastAsiaTheme="minorEastAsia"/>
          <w:lang w:val="en-US"/>
        </w:rPr>
        <w:t>PG</w:t>
      </w:r>
      <w:r w:rsidR="004E15DC" w:rsidRPr="004E30B4">
        <w:rPr>
          <w:rFonts w:eastAsiaTheme="minorEastAsia"/>
        </w:rPr>
        <w:t>,</w:t>
      </w:r>
      <w:bookmarkStart w:id="0" w:name="_GoBack"/>
      <w:bookmarkEnd w:id="0"/>
    </w:p>
    <w:p w14:paraId="24AA5F60" w14:textId="24DA8343" w:rsidR="003A78BF" w:rsidRDefault="005052E2" w:rsidP="004E15DC">
      <w:pPr>
        <w:pStyle w:val="a3"/>
        <w:spacing w:after="0" w:line="360" w:lineRule="auto"/>
        <w:ind w:left="0"/>
        <w:jc w:val="both"/>
      </w:pPr>
      <w:proofErr w:type="gramStart"/>
      <w:r>
        <w:t>что</w:t>
      </w:r>
      <w:proofErr w:type="gramEnd"/>
      <w:r>
        <w:t xml:space="preserve"> хорошо согласуется с экспериментальными данными, известными из литературы. </w:t>
      </w:r>
    </w:p>
    <w:p w14:paraId="285266D2" w14:textId="77777777" w:rsidR="004E15DC" w:rsidRPr="004E15DC" w:rsidRDefault="004E15DC" w:rsidP="004E15DC">
      <w:pPr>
        <w:pStyle w:val="a3"/>
        <w:spacing w:after="0" w:line="360" w:lineRule="auto"/>
        <w:ind w:left="0"/>
        <w:jc w:val="both"/>
        <w:rPr>
          <w:rFonts w:eastAsiaTheme="minorEastAsia"/>
        </w:rPr>
      </w:pPr>
    </w:p>
    <w:p w14:paraId="19E3F5B6" w14:textId="77777777" w:rsidR="005052E2" w:rsidRPr="00167F10" w:rsidRDefault="005052E2">
      <w:pPr>
        <w:spacing w:after="0" w:line="360" w:lineRule="auto"/>
        <w:jc w:val="both"/>
      </w:pPr>
    </w:p>
    <w:sectPr w:rsidR="005052E2" w:rsidRPr="00167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2A386F"/>
    <w:multiLevelType w:val="hybridMultilevel"/>
    <w:tmpl w:val="5066E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0C6D0D"/>
    <w:multiLevelType w:val="hybridMultilevel"/>
    <w:tmpl w:val="8F1ED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4D2"/>
    <w:rsid w:val="0001322D"/>
    <w:rsid w:val="00027A81"/>
    <w:rsid w:val="000634D2"/>
    <w:rsid w:val="00167F10"/>
    <w:rsid w:val="001C3093"/>
    <w:rsid w:val="003A78BF"/>
    <w:rsid w:val="0040048F"/>
    <w:rsid w:val="004E15DC"/>
    <w:rsid w:val="004E30B4"/>
    <w:rsid w:val="005052E2"/>
    <w:rsid w:val="00674191"/>
    <w:rsid w:val="006F5AE6"/>
    <w:rsid w:val="00834ECA"/>
    <w:rsid w:val="009E2BD6"/>
    <w:rsid w:val="00AF3E95"/>
    <w:rsid w:val="00C65F4D"/>
    <w:rsid w:val="00CF0E0A"/>
    <w:rsid w:val="00D33362"/>
    <w:rsid w:val="00F2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FAC88"/>
  <w15:chartTrackingRefBased/>
  <w15:docId w15:val="{96FFE6CC-C55D-4833-8889-3DBA6B441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15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Windows-пользователь</dc:creator>
  <cp:keywords/>
  <dc:description/>
  <cp:lastModifiedBy>Windows-пользователь</cp:lastModifiedBy>
  <cp:revision>3</cp:revision>
  <dcterms:created xsi:type="dcterms:W3CDTF">2021-02-28T09:25:00Z</dcterms:created>
  <dcterms:modified xsi:type="dcterms:W3CDTF">2021-02-28T10:03:00Z</dcterms:modified>
</cp:coreProperties>
</file>