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8DC" w:rsidRPr="00BC3BA0" w:rsidRDefault="00DE6FCC">
      <w:pPr>
        <w:shd w:val="clear" w:color="auto" w:fill="FFFFFF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Определение сайтов захвата водорода в матрицах инертных газов на основании моделирования спектров ЭПР при помощи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ab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initio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расчетов и молекулярной динамики</w:t>
      </w:r>
    </w:p>
    <w:p w:rsidR="007D18DC" w:rsidRDefault="00DE6FCC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Измоденов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Д.В.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 Лейбин И.В.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</w:p>
    <w:p w:rsidR="007D18DC" w:rsidRDefault="00DE6FCC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5 курс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специалитета</w:t>
      </w:r>
      <w:proofErr w:type="spellEnd"/>
    </w:p>
    <w:p w:rsidR="007D18DC" w:rsidRDefault="00DE6FCC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Московский государственный университет имени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М.В.Ломоносова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:rsidR="007D18DC" w:rsidRDefault="00DE6FCC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химический факультет, Москва, Россия</w:t>
      </w:r>
    </w:p>
    <w:p w:rsidR="007D18DC" w:rsidRDefault="00DE6FCC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;Times New Roman" w:eastAsia="Times New Roman;Times New Roman" w:hAnsi="Times New Roman;Times New Roman" w:cs="Times New Roman;Times New Roman"/>
          <w:i/>
          <w:iCs/>
          <w:color w:val="000000"/>
          <w:sz w:val="24"/>
          <w:szCs w:val="24"/>
          <w:vertAlign w:val="superscript"/>
        </w:rPr>
        <w:t>2</w:t>
      </w:r>
      <w:r>
        <w:rPr>
          <w:rFonts w:ascii="Times New Roman;Times New Roman" w:eastAsia="Times New Roman;Times New Roman" w:hAnsi="Times New Roman;Times New Roman" w:cs="Times New Roman;Times New Roman"/>
          <w:i/>
          <w:iCs/>
          <w:color w:val="000000"/>
          <w:sz w:val="24"/>
          <w:szCs w:val="24"/>
        </w:rPr>
        <w:t>Сколковский институт науки и технологии, Москва, Россия</w:t>
      </w:r>
    </w:p>
    <w:p w:rsidR="007D18DC" w:rsidRPr="00BC3BA0" w:rsidRDefault="00DE6FCC">
      <w:pPr>
        <w:shd w:val="clear" w:color="auto" w:fill="FFFFFF"/>
        <w:jc w:val="center"/>
        <w:rPr>
          <w:lang w:val="en-US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BC3BA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–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BC3BA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hyperlink r:id="rId4">
        <w:r>
          <w:rPr>
            <w:rFonts w:ascii="Times New Roman" w:eastAsia="Times New Roman" w:hAnsi="Times New Roman" w:cs="Times New Roman"/>
            <w:i/>
            <w:color w:val="0000FF" w:themeColor="hyperlink"/>
            <w:sz w:val="24"/>
            <w:szCs w:val="24"/>
            <w:lang w:val="en-US"/>
          </w:rPr>
          <w:t>dan</w:t>
        </w:r>
        <w:r w:rsidRPr="00BC3BA0">
          <w:rPr>
            <w:rFonts w:ascii="Times New Roman" w:eastAsia="Times New Roman" w:hAnsi="Times New Roman" w:cs="Times New Roman"/>
            <w:i/>
            <w:color w:val="0000FF" w:themeColor="hyperlink"/>
            <w:sz w:val="24"/>
            <w:szCs w:val="24"/>
            <w:lang w:val="en-US"/>
          </w:rPr>
          <w:t>.</w:t>
        </w:r>
        <w:r>
          <w:rPr>
            <w:rFonts w:ascii="Times New Roman" w:eastAsia="Times New Roman" w:hAnsi="Times New Roman" w:cs="Times New Roman"/>
            <w:i/>
            <w:color w:val="0000FF" w:themeColor="hyperlink"/>
            <w:sz w:val="24"/>
            <w:szCs w:val="24"/>
            <w:lang w:val="en-US"/>
          </w:rPr>
          <w:t>izmodenov</w:t>
        </w:r>
        <w:r w:rsidRPr="00BC3BA0">
          <w:rPr>
            <w:rFonts w:ascii="Times New Roman" w:eastAsia="Times New Roman" w:hAnsi="Times New Roman" w:cs="Times New Roman"/>
            <w:i/>
            <w:color w:val="0000FF" w:themeColor="hyperlink"/>
            <w:sz w:val="24"/>
            <w:szCs w:val="24"/>
            <w:lang w:val="en-US"/>
          </w:rPr>
          <w:t>@</w:t>
        </w:r>
        <w:r>
          <w:rPr>
            <w:rFonts w:ascii="Times New Roman" w:eastAsia="Times New Roman" w:hAnsi="Times New Roman" w:cs="Times New Roman"/>
            <w:i/>
            <w:color w:val="0000FF" w:themeColor="hyperlink"/>
            <w:sz w:val="24"/>
            <w:szCs w:val="24"/>
            <w:lang w:val="en-US"/>
          </w:rPr>
          <w:t>yandex</w:t>
        </w:r>
        <w:r w:rsidRPr="00BC3BA0">
          <w:rPr>
            <w:rFonts w:ascii="Times New Roman" w:eastAsia="Times New Roman" w:hAnsi="Times New Roman" w:cs="Times New Roman"/>
            <w:i/>
            <w:color w:val="0000FF" w:themeColor="hyperlink"/>
            <w:sz w:val="24"/>
            <w:szCs w:val="24"/>
            <w:lang w:val="en-US"/>
          </w:rPr>
          <w:t>.</w:t>
        </w:r>
        <w:r>
          <w:rPr>
            <w:rFonts w:ascii="Times New Roman" w:eastAsia="Times New Roman" w:hAnsi="Times New Roman" w:cs="Times New Roman"/>
            <w:i/>
            <w:color w:val="0000FF" w:themeColor="hyperlink"/>
            <w:sz w:val="24"/>
            <w:szCs w:val="24"/>
            <w:lang w:val="en-US"/>
          </w:rPr>
          <w:t>ru</w:t>
        </w:r>
      </w:hyperlink>
    </w:p>
    <w:p w:rsidR="007D18DC" w:rsidRDefault="00DE6FCC">
      <w:pPr>
        <w:shd w:val="clear" w:color="auto" w:fill="FFFFFF"/>
        <w:ind w:firstLine="39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Изучение сайтов захвата для водорода в матрицах инертных газов очень важно для спектроскопии органических молекул и радикалов, а также в исследовании миграции водорода в различных металлах. Кроме того, определение положения атома водорода в матрице, а также механизмов его диффузии может дать информацию о путях протекания различных процессов, происходящих с посторонними атомами внутри твердого тела [1-2]. В эксперименте сайты захвата различных радикалов (в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атома водорода) в твердых матрицах</w:t>
      </w:r>
      <w:r w:rsidRPr="00DE6F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зачастую определяют из результатов ЭПР, однако однозначно отнести полосы поглощения без тео</w:t>
      </w:r>
      <w:r w:rsidR="00BC3B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ретического моделирования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сложно.</w:t>
      </w:r>
    </w:p>
    <w:p w:rsidR="007D18DC" w:rsidRDefault="00DE6FCC">
      <w:pPr>
        <w:shd w:val="clear" w:color="auto" w:fill="FFFFFF"/>
        <w:ind w:firstLine="39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Целью настоящей работы являлось моделирования строения стабильных сайтов захвата атома водорода различными матрицами инертных газов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и верификацию полученных данных при помощи моделирования сдвига константы СТВ, а также полуширин пиков, получаемых в ЭПР спектре водорода. Для этого сперва был проведен неэмпирический расчет парных потенциалов взаимодействия инертный газ – водород и построена модель матрично-изолированной системы. Относительная устойчивость различных сайтов захвата была установлена методом выпуклых оболочек [3]. Для структур матриц, в которых водород находится в устойчивых положениях, был проведен расчет сдвига константы СТВ, как разницы между СТВ водорода, находящегося в данном сайте и СТВ изолированного атома.</w:t>
      </w:r>
      <w:r w:rsidR="00BC3BA0" w:rsidRPr="00BC3B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C3B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Вычисление сдвига константы СТВ проводилось из расчета электронной плотности на атоме водорода в паре </w:t>
      </w:r>
      <w:proofErr w:type="spellStart"/>
      <w:r w:rsidR="00BC3BA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Rg</w:t>
      </w:r>
      <w:proofErr w:type="spellEnd"/>
      <w:r w:rsidR="00BC3BA0" w:rsidRPr="00BC3BA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BC3BA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</w:t>
      </w:r>
      <w:r w:rsidR="00BC3BA0">
        <w:rPr>
          <w:rFonts w:ascii="Times New Roman" w:eastAsia="Times New Roman" w:hAnsi="Times New Roman" w:cs="Times New Roman"/>
          <w:color w:val="000000"/>
          <w:sz w:val="24"/>
          <w:szCs w:val="24"/>
        </w:rPr>
        <w:t>, а затем суммированию по всем атомам инертного газа, составляемых систему. Кроме того,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D87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данной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работе</w:t>
      </w:r>
      <w:r w:rsidR="00D87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впервые в рамках исследований касательно матричной изоляции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сравнение вычисленных полуширин полос в спектре, полученных в результате симуляции мобильности водорода при помощи метода молекулярной динамики.</w:t>
      </w:r>
      <w:r w:rsidR="00BC3B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Вычисленные данные были с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равнены с экспериментальными.</w:t>
      </w:r>
    </w:p>
    <w:p w:rsidR="007D18DC" w:rsidRDefault="00DE6FCC">
      <w:pPr>
        <w:shd w:val="clear" w:color="auto" w:fill="FFFFFF"/>
        <w:ind w:firstLine="39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</w:t>
      </w:r>
      <w:r w:rsidR="002103F9" w:rsidRPr="0021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103F9">
        <w:rPr>
          <w:rFonts w:ascii="Times New Roman" w:eastAsia="Times New Roman" w:hAnsi="Times New Roman" w:cs="Times New Roman"/>
          <w:color w:val="000000"/>
          <w:sz w:val="24"/>
          <w:szCs w:val="24"/>
        </w:rPr>
        <w:t>было установлено, 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октаэдрическое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окружение в центре кубической гранецентрированной решетки является стабильным сайтом захвата для аргона, криптона и ксенона, также для всех инертных газов стабильной является вакансия замещения, в которой атом матрицы заменяется на атом водорода. В случае с неоном была также найдена так называемая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тетравакансия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которая получается при удалении из матрицы четырех атомов инертного газа.</w:t>
      </w:r>
    </w:p>
    <w:p w:rsidR="007D18DC" w:rsidRDefault="00DE6FCC">
      <w:pPr>
        <w:shd w:val="clear" w:color="auto" w:fill="FFFFFF"/>
        <w:ind w:firstLine="39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выполнена при финансовой поддержке РНФ (проект № 17-13-01466)</w:t>
      </w:r>
    </w:p>
    <w:p w:rsidR="007D18DC" w:rsidRDefault="007D18D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D18DC" w:rsidRDefault="00DE6FC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:rsidR="007D18DC" w:rsidRDefault="00DE6FCC">
      <w:pPr>
        <w:shd w:val="clear" w:color="auto" w:fill="FFFFFF"/>
        <w:jc w:val="both"/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</w:pPr>
      <w:r w:rsidRPr="00BC3BA0"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</w:rPr>
        <w:t xml:space="preserve">1. </w:t>
      </w: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Miyazaki</w:t>
      </w:r>
      <w:r w:rsidRPr="00BC3BA0"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</w:rPr>
        <w:t xml:space="preserve"> </w:t>
      </w: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T</w:t>
      </w:r>
      <w:r w:rsidRPr="00BC3BA0"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</w:rPr>
        <w:t xml:space="preserve">. </w:t>
      </w: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et</w:t>
      </w:r>
      <w:r w:rsidRPr="00BC3BA0"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</w:rPr>
        <w:t xml:space="preserve"> </w:t>
      </w: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al</w:t>
      </w:r>
      <w:r w:rsidRPr="00BC3BA0"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</w:rPr>
        <w:t xml:space="preserve">. </w:t>
      </w: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 xml:space="preserve">Effect of initial energy of hydrogen atoms on two-site trapping in solid argon at 4 K //The Journal of Physical Chemistry. – 1982. – </w:t>
      </w: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</w:rPr>
        <w:t>Т</w:t>
      </w: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 xml:space="preserve">. 86. – №. 19. – </w:t>
      </w: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</w:rPr>
        <w:t>С</w:t>
      </w: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. 3881-3883.</w:t>
      </w:r>
    </w:p>
    <w:p w:rsidR="007D18DC" w:rsidRPr="00BC3BA0" w:rsidRDefault="00DE6FCC">
      <w:pPr>
        <w:shd w:val="clear" w:color="auto" w:fill="FFFFFF"/>
        <w:jc w:val="both"/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</w:pP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2.</w:t>
      </w:r>
      <w:r>
        <w:rPr>
          <w:lang w:val="en-US"/>
        </w:rPr>
        <w:t xml:space="preserve"> </w:t>
      </w:r>
      <w:proofErr w:type="spellStart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Apkarian</w:t>
      </w:r>
      <w:proofErr w:type="spellEnd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 xml:space="preserve"> V. A., </w:t>
      </w:r>
      <w:proofErr w:type="spellStart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Schwentner</w:t>
      </w:r>
      <w:proofErr w:type="spellEnd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 xml:space="preserve"> N. Molecular </w:t>
      </w:r>
      <w:proofErr w:type="spellStart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photodynamics</w:t>
      </w:r>
      <w:proofErr w:type="spellEnd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 xml:space="preserve"> in rare gas solids //Chemical reviews. – 1999. – Т. 99. – №. 6. – С. 1481-1514.</w:t>
      </w:r>
    </w:p>
    <w:p w:rsidR="007D18DC" w:rsidRDefault="00DE6FCC">
      <w:pPr>
        <w:shd w:val="clear" w:color="auto" w:fill="FFFFFF"/>
        <w:jc w:val="both"/>
        <w:rPr>
          <w:lang w:val="en-US"/>
        </w:rPr>
      </w:pPr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 xml:space="preserve">3. </w:t>
      </w:r>
      <w:proofErr w:type="spellStart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Kleshchina</w:t>
      </w:r>
      <w:proofErr w:type="spellEnd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 xml:space="preserve">, N.N., </w:t>
      </w:r>
      <w:proofErr w:type="spellStart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Korchagina</w:t>
      </w:r>
      <w:proofErr w:type="spellEnd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 xml:space="preserve">, K.A., </w:t>
      </w:r>
      <w:proofErr w:type="spellStart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Bezrukov</w:t>
      </w:r>
      <w:proofErr w:type="spellEnd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 xml:space="preserve">, D.S. and </w:t>
      </w:r>
      <w:proofErr w:type="spellStart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Buchachenko</w:t>
      </w:r>
      <w:proofErr w:type="spellEnd"/>
      <w:r>
        <w:rPr>
          <w:rFonts w:ascii="Times New Roman;Times New Roman" w:eastAsia="Times New Roman;Times New Roman" w:hAnsi="Times New Roman;Times New Roman" w:cs="Times New Roman;Times New Roman"/>
          <w:color w:val="000000"/>
          <w:sz w:val="24"/>
          <w:szCs w:val="24"/>
          <w:lang w:val="en-US"/>
        </w:rPr>
        <w:t>, A.A. Modeling of Manganese Atom and Dimer Isolated in Solid Rare Gases: Structure, Stability, and Effect on Spin Coupling // J. Phys. Chem. A. 2017, №121(12) p. 2429-2441.</w:t>
      </w:r>
    </w:p>
    <w:p w:rsidR="007D18DC" w:rsidRDefault="007D18DC">
      <w:pPr>
        <w:shd w:val="clear" w:color="auto" w:fill="FFFFFF"/>
        <w:jc w:val="both"/>
        <w:rPr>
          <w:lang w:val="en-US"/>
        </w:rPr>
      </w:pPr>
    </w:p>
    <w:sectPr w:rsidR="007D18DC">
      <w:pgSz w:w="11906" w:h="16838"/>
      <w:pgMar w:top="1134" w:right="1361" w:bottom="1134" w:left="1361" w:header="0" w:footer="0" w:gutter="0"/>
      <w:pgNumType w:start="1"/>
      <w:cols w:space="720"/>
      <w:formProt w:val="0"/>
      <w:docGrid w:linePitch="10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Source Han Sans CN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8DC"/>
    <w:rsid w:val="002103F9"/>
    <w:rsid w:val="007D18DC"/>
    <w:rsid w:val="00BC3BA0"/>
    <w:rsid w:val="00D87B0B"/>
    <w:rsid w:val="00DE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A0F080"/>
  <w15:docId w15:val="{32507CDD-9CCB-4070-BE61-642D4142B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Гиперссылка1"/>
    <w:basedOn w:val="a0"/>
    <w:uiPriority w:val="99"/>
    <w:unhideWhenUsed/>
    <w:qFormat/>
    <w:rsid w:val="002F6815"/>
    <w:rPr>
      <w:color w:val="0000FF" w:themeColor="hyperlink"/>
      <w:u w:val="single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1">
    <w:name w:val="Заголовок1"/>
    <w:basedOn w:val="a"/>
    <w:next w:val="a3"/>
    <w:qFormat/>
    <w:pPr>
      <w:keepNext/>
      <w:spacing w:before="240" w:after="120"/>
    </w:pPr>
    <w:rPr>
      <w:rFonts w:ascii="Liberation Sans" w:eastAsia="Source Han Sans CN Regular" w:hAnsi="Liberation Sans" w:cs="Lohit Devanagari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Lohit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Lohit Devanagari"/>
    </w:rPr>
  </w:style>
  <w:style w:type="paragraph" w:styleId="a6">
    <w:name w:val="Title"/>
    <w:basedOn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7">
    <w:name w:val="Subtitle"/>
    <w:basedOn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an.izmodenov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Daniil Izmodenov</dc:creator>
  <dc:description/>
  <cp:lastModifiedBy>Daniil Izmodenov</cp:lastModifiedBy>
  <cp:revision>8</cp:revision>
  <dcterms:created xsi:type="dcterms:W3CDTF">2020-03-01T14:08:00Z</dcterms:created>
  <dcterms:modified xsi:type="dcterms:W3CDTF">2021-03-03T18:01:00Z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