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Управляемая сегрегация смешанных цвиттер-ионных полимерных щёток 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  <w:t>Могельницкая Я.А.,</w:t>
      </w: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  <w:t xml:space="preserve"> Михайлов И.В.</w:t>
      </w: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  <w:vertAlign w:val="superscript"/>
        </w:rPr>
        <w:t>2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Студент, 2 курс магистратуры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Национальный исследовательский университет ИТМО,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факультет прикладной оптики, Санкт-Петербург, Россия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vertAlign w:val="superscript"/>
        </w:rPr>
        <w:t>2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Институт высокомолекулярных соединений Российской Академии Наук,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Санкт-Петербург, Россия</w:t>
      </w:r>
    </w:p>
    <w:p>
      <w:pPr>
        <w:pStyle w:val="LOnormal"/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 xml:space="preserve">E–mail: 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mogelnitska.ya@mail.ru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ind w:firstLine="39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Полимерные щётки на основе цвиттер-ионных полимеров демонстрируют большой потенциал в качестве платформ для разработки «умных» полимерных покрытий с управляемыми лубрикантными и адсорбционными свойствами. В частности, такие покрытия используются для бактериальной абсорбции/десорбции. Механизм очистки поверхности от бактерий основан на обратном полиэлектролитном эффекте и известен в научной литературе под названием «Killing and Release» («Убить и Освободить»). В солевых растворах функциональные концевые группы привитых цвиттер-полимеров, находясь на периферии щётки, контактируют с окружающим раствором, захватывают и убивают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бактерии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Уменьшение ионной силы раствора заставляет привитые цепи «поджиматься», чтобы минимизировать энергию диполь-дипольных взаимодействий между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мономерными звеньями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Таким образом, высвобождать мёртвые бактерии можно обычной промывкой дистиллированной водой, а отсутствие агрессивных сред позволяет повторять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цикл «убийства и освобождения» многократно без износа поверхности. Однако переключатели свойств поверхности цвиттер-ионных щёток обычно срабатывают при высоких концентрациях соли (&gt;0.5 М), что сильно ограничивает их применение в медицине, т.к. концентрация солей в биологических жидкостях составляет ~ 0,15 М. Для решения данной проблемы на практике используется два способа. Первый заключается в создании смешанных щёток, в которых наряду с ион-чувствительными полимерами прививаются нейтральные. Объёмные взаимодействия цвиттер-полимеров с нейтральными способствуют дополнительной стимуляции последних при переходе между режимами растяжения-сжатия в смешанной щётке и снижают значение концентрации переключения этих режимов. Второй способ заключается в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растяжении  цвиттер-ионных цепей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под действием электрического поля, которое заставляет диполярные мономерные звенья упорядочиваться вдоль вектора напряжённости. </w:t>
      </w:r>
    </w:p>
    <w:p>
      <w:pPr>
        <w:pStyle w:val="LOnormal"/>
        <w:shd w:val="clear" w:color="auto" w:fill="FFFFFF"/>
        <w:ind w:firstLine="39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В рамках данной работы нами было проведено теоретическое исследование комбинированного метода, в котором с помощью внешнего однородного электрического поля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контролируется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сегрегация смешанных щёток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из нейтральных и диполярных цепей.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спользовалась крупнозернистая модель, в которой конформации привитых полимеров рассматриваются как случайное блуждание цепей Маркова на решётке в эффективном поле химического потенциала мономерных звеньев и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во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внешнем электрическ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ом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поле. Минимизация энергии и статистический подбор энергетически выгодных конформаций осуществлялся с помощью алгоритма Схойтенса-Флира. </w:t>
      </w:r>
    </w:p>
    <w:p>
      <w:pPr>
        <w:pStyle w:val="LOnormal"/>
        <w:shd w:val="clear" w:color="auto" w:fill="FFFFFF"/>
        <w:ind w:firstLine="397"/>
        <w:jc w:val="both"/>
        <w:rPr>
          <w:rFonts w:ascii="TimesNewRomanPSMT" w:hAnsi="TimesNewRomanPSMT"/>
          <w:i/>
          <w:i/>
          <w:iCs/>
          <w:color w:val="000000" w:themeColor="text1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В ходе работы было изучено влияние внешнего электрического поля на распределение концевых звеньев в бинарной щётке, состоящей из диполярных цепей типа </w:t>
      </w:r>
      <w:r>
        <w:rPr>
          <w:rFonts w:eastAsia="Times New Roman" w:cs="Times New Roman" w:ascii="Times New Roman" w:hAnsi="Times New Roman"/>
          <w:i/>
          <w:iCs/>
          <w:color w:val="000000" w:themeColor="text1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(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τ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&gt;</m:t>
        </m:r>
        <m:r>
          <w:rPr>
            <w:rFonts w:ascii="Cambria Math" w:hAnsi="Cambria Math"/>
          </w:rPr>
          <m:t xml:space="preserve">0</m:t>
        </m:r>
      </m:oMath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) и нейтральных цепей типа </w:t>
      </w:r>
      <w:r>
        <w:rPr>
          <w:rFonts w:eastAsia="Times New Roman" w:cs="Times New Roman" w:ascii="Times New Roman" w:hAnsi="Times New Roman"/>
          <w:i/>
          <w:iCs/>
          <w:color w:val="000000" w:themeColor="text1"/>
          <w:sz w:val="24"/>
          <w:szCs w:val="24"/>
          <w:lang w:val="en-US"/>
        </w:rPr>
        <w:t>B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(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τ</m:t>
            </m:r>
          </m:e>
          <m:sub>
            <m:r>
              <w:rPr>
                <w:rFonts w:ascii="Cambria Math" w:hAnsi="Cambria Math"/>
              </w:rPr>
              <m:t xml:space="preserve">B</m:t>
            </m:r>
          </m:sub>
        </m:sSub>
        <m:r>
          <w:rPr>
            <w:rFonts w:ascii="Cambria Math" w:hAnsi="Cambria Math"/>
          </w:rPr>
          <m:t xml:space="preserve">=</m:t>
        </m:r>
        <m:r>
          <w:rPr>
            <w:rFonts w:ascii="Cambria Math" w:hAnsi="Cambria Math"/>
          </w:rPr>
          <m:t xml:space="preserve">0</m:t>
        </m:r>
      </m:oMath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). Значение напряженности (</w:t>
      </w:r>
      <w:r>
        <w:rPr>
          <w:rFonts w:eastAsia="Times New Roman" w:cs="Times New Roman" w:ascii="Times New Roman" w:hAnsi="Times New Roman"/>
          <w:i/>
          <w:iCs/>
          <w:color w:val="000000" w:themeColor="text1"/>
          <w:sz w:val="24"/>
          <w:szCs w:val="24"/>
          <w:lang w:val="en-US"/>
        </w:rPr>
        <w:t>E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*), при котором первые моменты распределений концевых звеньев цепей обоих типов были равны, принималось за точку перехода. Посредством численного метода было установлено, что критическое значение </w:t>
      </w:r>
      <w:r>
        <w:rPr>
          <w:rFonts w:eastAsia="Times New Roman" w:cs="Times New Roman" w:ascii="Times New Roman" w:hAnsi="Times New Roman"/>
          <w:i/>
          <w:iCs/>
          <w:color w:val="000000" w:themeColor="text1"/>
          <w:sz w:val="24"/>
          <w:szCs w:val="24"/>
          <w:lang w:val="en-US"/>
        </w:rPr>
        <w:t>E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* является линейной функцией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σ</m:t>
        </m:r>
      </m:oMath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, остающейся универсальной как при варьировании степеней полимеризации макромолекул, так и при изменении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дипольного момента мономерный звеньев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Б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ыло показано, что увеличение продольных дипольных моментов  приводит к увеличению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амплитуды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перехода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при условии воздействия на щётку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одинакового внешнего поля, что представляет практический интерес для создания молекулярных переключателей. </w:t>
      </w:r>
      <w:r>
        <w:rPr>
          <w:rFonts w:ascii="TimesNewRomanPSMT" w:hAnsi="TimesNewRomanPSMT"/>
          <w:i/>
          <w:iCs/>
          <w:color w:val="000000" w:themeColor="text1"/>
        </w:rPr>
        <w:t xml:space="preserve"> </w:t>
      </w:r>
    </w:p>
    <w:sectPr>
      <w:type w:val="nextPage"/>
      <w:pgSz w:w="11906" w:h="16838"/>
      <w:pgMar w:left="1361" w:right="1361" w:header="0" w:top="1134" w:footer="0" w:bottom="1134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Georgia">
    <w:charset w:val="01"/>
    <w:family w:val="roman"/>
    <w:pitch w:val="variable"/>
  </w:font>
  <w:font w:name="TimesNewRomanPSM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4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338e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bidi="ar-SA" w:val="ru-RU"/>
    </w:rPr>
  </w:style>
  <w:style w:type="paragraph" w:styleId="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Интернет-ссылка"/>
    <w:rPr>
      <w:color w:val="000080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6837f3"/>
    <w:rPr>
      <w:color w:val="808080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0">
    <w:name w:val="Body Text"/>
    <w:basedOn w:val="Normal"/>
    <w:pPr>
      <w:suppressAutoHyphens w:val="true"/>
      <w:spacing w:lineRule="auto" w:line="276" w:before="0" w:after="140"/>
    </w:pPr>
    <w:rPr>
      <w:rFonts w:ascii="Calibri" w:hAnsi="Calibri" w:eastAsia="Calibri" w:cs="Calibri"/>
      <w:sz w:val="20"/>
      <w:szCs w:val="20"/>
      <w:lang w:eastAsia="zh-CN" w:bidi="hi-IN"/>
    </w:rPr>
  </w:style>
  <w:style w:type="paragraph" w:styleId="Style11">
    <w:name w:val="List"/>
    <w:basedOn w:val="Style10"/>
    <w:pPr/>
    <w:rPr>
      <w:rFonts w:cs="Lohit Devanagari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ohit Devanagari"/>
    </w:rPr>
  </w:style>
  <w:style w:type="paragraph" w:styleId="Style14">
    <w:name w:val="Title"/>
    <w:basedOn w:val="LOnormal"/>
    <w:next w:val="Style10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ascii="Calibri" w:hAnsi="Calibri" w:eastAsia="Calibri" w:cs="Lohit Devanagari"/>
      <w:i/>
      <w:iCs/>
      <w:lang w:eastAsia="zh-CN" w:bidi="hi-IN"/>
    </w:rPr>
  </w:style>
  <w:style w:type="paragraph" w:styleId="Indexheading">
    <w:name w:val="index heading"/>
    <w:basedOn w:val="Normal"/>
    <w:qFormat/>
    <w:pPr>
      <w:suppressLineNumbers/>
      <w:suppressAutoHyphens w:val="true"/>
    </w:pPr>
    <w:rPr>
      <w:rFonts w:ascii="Calibri" w:hAnsi="Calibri" w:eastAsia="Calibri" w:cs="Lohit Devanagari"/>
      <w:sz w:val="20"/>
      <w:szCs w:val="20"/>
      <w:lang w:eastAsia="zh-CN" w:bidi="hi-IN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0"/>
      <w:lang w:val="ru-RU" w:eastAsia="zh-CN" w:bidi="hi-IN"/>
    </w:rPr>
  </w:style>
  <w:style w:type="paragraph" w:styleId="Style15">
    <w:name w:val="Subtitle"/>
    <w:basedOn w:val="LOnormal"/>
    <w:next w:val="LO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b9338e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Application>LibreOffice/6.4.6.2$Linux_X86_64 LibreOffice_project/40$Build-2</Application>
  <Pages>1</Pages>
  <Words>421</Words>
  <Characters>3219</Characters>
  <CharactersWithSpaces>3638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2021-02-25T10:52:00Z</dcterms:created>
  <dc:creator/>
  <dc:description/>
  <dc:language>ru-RU</dc:language>
  <cp:lastModifiedBy/>
  <dcterms:modified xsi:type="dcterms:W3CDTF">2021-03-15T20:57:39Z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