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EFF" w:rsidRPr="00C024F6" w:rsidRDefault="00C06FE9" w:rsidP="00C06FE9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C024F6">
        <w:rPr>
          <w:rFonts w:ascii="Times New Roman" w:hAnsi="Times New Roman" w:cs="Times New Roman"/>
          <w:b/>
          <w:bCs/>
          <w:sz w:val="28"/>
        </w:rPr>
        <w:t xml:space="preserve">Влияние фибрин мономера на гемостаз и </w:t>
      </w:r>
      <w:proofErr w:type="spellStart"/>
      <w:r w:rsidRPr="00C024F6">
        <w:rPr>
          <w:rFonts w:ascii="Times New Roman" w:hAnsi="Times New Roman" w:cs="Times New Roman"/>
          <w:b/>
          <w:bCs/>
          <w:sz w:val="28"/>
        </w:rPr>
        <w:t>фибринообразование</w:t>
      </w:r>
      <w:proofErr w:type="spellEnd"/>
      <w:r w:rsidRPr="00C024F6">
        <w:rPr>
          <w:rFonts w:ascii="Times New Roman" w:hAnsi="Times New Roman" w:cs="Times New Roman"/>
          <w:b/>
          <w:bCs/>
          <w:sz w:val="28"/>
        </w:rPr>
        <w:t xml:space="preserve"> на фоне введения </w:t>
      </w:r>
      <w:proofErr w:type="spellStart"/>
      <w:r w:rsidRPr="00C024F6">
        <w:rPr>
          <w:rFonts w:ascii="Times New Roman" w:hAnsi="Times New Roman" w:cs="Times New Roman"/>
          <w:b/>
          <w:bCs/>
          <w:sz w:val="28"/>
        </w:rPr>
        <w:t>стрептокиназы</w:t>
      </w:r>
      <w:proofErr w:type="spellEnd"/>
    </w:p>
    <w:p w:rsidR="00C06FE9" w:rsidRPr="00C024F6" w:rsidRDefault="00C06FE9" w:rsidP="00C06FE9">
      <w:pPr>
        <w:jc w:val="center"/>
        <w:rPr>
          <w:rFonts w:ascii="Times New Roman" w:hAnsi="Times New Roman" w:cs="Times New Roman"/>
        </w:rPr>
      </w:pPr>
      <w:r w:rsidRPr="00C024F6">
        <w:rPr>
          <w:rFonts w:ascii="Times New Roman" w:hAnsi="Times New Roman" w:cs="Times New Roman"/>
        </w:rPr>
        <w:t>Алтайский Государственный Медицинский Университет, г. Барнаул</w:t>
      </w:r>
    </w:p>
    <w:p w:rsidR="00C06FE9" w:rsidRPr="00C024F6" w:rsidRDefault="00C06FE9" w:rsidP="00C06FE9">
      <w:pPr>
        <w:jc w:val="center"/>
        <w:rPr>
          <w:rFonts w:ascii="Times New Roman" w:hAnsi="Times New Roman" w:cs="Times New Roman"/>
        </w:rPr>
      </w:pPr>
      <w:r w:rsidRPr="00C024F6">
        <w:rPr>
          <w:rFonts w:ascii="Times New Roman" w:hAnsi="Times New Roman" w:cs="Times New Roman"/>
        </w:rPr>
        <w:t>Теряев Вячеслав Витальевич</w:t>
      </w:r>
    </w:p>
    <w:p w:rsidR="00C06FE9" w:rsidRPr="00C024F6" w:rsidRDefault="00C06FE9" w:rsidP="00C06FE9">
      <w:pPr>
        <w:jc w:val="center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C024F6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Научный руководитель </w:t>
      </w:r>
      <w:r w:rsidRPr="00C024F6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– Вдовин Вячеслав Михайлович</w:t>
      </w:r>
    </w:p>
    <w:p w:rsidR="00C06FE9" w:rsidRPr="00C024F6" w:rsidRDefault="00C06FE9" w:rsidP="00C06FE9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06FE9" w:rsidRPr="00C024F6" w:rsidRDefault="00C06FE9" w:rsidP="00C06FE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4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Актуальность:</w:t>
      </w:r>
      <w:r w:rsidRPr="00C024F6">
        <w:rPr>
          <w:rFonts w:ascii="Times New Roman" w:eastAsiaTheme="minorEastAsia" w:hAnsi="Times New Roman" w:cs="Times New Roman"/>
          <w:color w:val="FFFFFF" w:themeColor="background1"/>
          <w:kern w:val="24"/>
          <w:sz w:val="24"/>
          <w:szCs w:val="24"/>
          <w:lang w:eastAsia="ru-RU"/>
        </w:rPr>
        <w:t xml:space="preserve"> </w:t>
      </w:r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Проблема, связанная с поиском эффективных и безопасных</w:t>
      </w:r>
    </w:p>
    <w:p w:rsidR="00C06FE9" w:rsidRPr="00C024F6" w:rsidRDefault="00C06FE9" w:rsidP="00C06FE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лекарственных средств, обладающих системным кровоостанавливающим действием, является актуальной по настоящее время. Ранее были получены экспериментальные данные, свидетельствующие о том, что фибрин-мономер (ФМ) в низкой дозе способен минимизировать посттравматическое кровотечение, не приводя при этом к активации свертывания крови в общей циркуляции.</w:t>
      </w:r>
    </w:p>
    <w:p w:rsidR="00C06FE9" w:rsidRPr="00C024F6" w:rsidRDefault="00C06FE9" w:rsidP="00C06FE9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06FE9" w:rsidRPr="00C024F6" w:rsidRDefault="00C06FE9" w:rsidP="00C06FE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4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Цель:</w:t>
      </w:r>
      <w:r w:rsidRPr="00C024F6">
        <w:rPr>
          <w:rFonts w:ascii="Times New Roman" w:eastAsiaTheme="minorEastAsia" w:hAnsi="Times New Roman" w:cs="Times New Roman"/>
          <w:color w:val="FFFFFF" w:themeColor="background1"/>
          <w:kern w:val="24"/>
          <w:sz w:val="24"/>
          <w:szCs w:val="24"/>
        </w:rPr>
        <w:t xml:space="preserve"> </w:t>
      </w:r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Изучить системные </w:t>
      </w:r>
      <w:proofErr w:type="spellStart"/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гемостатические</w:t>
      </w:r>
      <w:proofErr w:type="spellEnd"/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гемостазиологические</w:t>
      </w:r>
      <w:proofErr w:type="spellEnd"/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эффекты фибрин-мономера при его профилактическом внутривенном введении на фоне активации </w:t>
      </w:r>
      <w:proofErr w:type="spellStart"/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фибринолиза</w:t>
      </w:r>
      <w:proofErr w:type="spellEnd"/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стрептокиназой</w:t>
      </w:r>
      <w:proofErr w:type="spellEnd"/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06FE9" w:rsidRPr="00C024F6" w:rsidRDefault="00C06FE9" w:rsidP="00C06FE9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024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Методика исследования:</w:t>
      </w:r>
    </w:p>
    <w:p w:rsidR="00C06FE9" w:rsidRPr="00C024F6" w:rsidRDefault="00C06FE9" w:rsidP="00C06FE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4F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Объект исследования: </w:t>
      </w:r>
      <w:r w:rsidRPr="00C024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кролики самцы породы</w:t>
      </w:r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«Шиншилла» (3,0-4,5 кг) (n=67).</w:t>
      </w:r>
    </w:p>
    <w:p w:rsidR="00C06FE9" w:rsidRPr="00C024F6" w:rsidRDefault="00C06FE9" w:rsidP="00C06FE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4F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Введение препаратов: </w:t>
      </w:r>
      <w:r w:rsidRPr="00C024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 краевую вену уха:</w:t>
      </w:r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ФМ в дозе 0,25 мг/кг, 2,5 мг/кг или плацебо.</w:t>
      </w:r>
    </w:p>
    <w:p w:rsidR="00C06FE9" w:rsidRPr="00C024F6" w:rsidRDefault="00C06FE9" w:rsidP="00C06FE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4F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Модель кровопотери:</w:t>
      </w:r>
      <w:r w:rsidRPr="00C024F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стандартная травма печени (S=1,5 см2, глубина 0,1 см).</w:t>
      </w:r>
    </w:p>
    <w:p w:rsidR="00C06FE9" w:rsidRPr="00C024F6" w:rsidRDefault="00C06FE9" w:rsidP="00C06FE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4F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Оценка кровопотери:</w:t>
      </w:r>
      <w:r w:rsidRPr="00C024F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объем кровопотери (% ОЦК), темп кровопотери (мг/с)</w:t>
      </w:r>
    </w:p>
    <w:p w:rsidR="00C06FE9" w:rsidRPr="00C024F6" w:rsidRDefault="00C06FE9" w:rsidP="00C06FE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4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помощи марлевых салфеток.</w:t>
      </w:r>
    </w:p>
    <w:p w:rsidR="00C06FE9" w:rsidRPr="00C024F6" w:rsidRDefault="00C06FE9" w:rsidP="00C06FE9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06FE9" w:rsidRPr="00C024F6" w:rsidRDefault="00C06FE9" w:rsidP="00C06FE9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024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drawing>
          <wp:inline distT="0" distB="0" distL="0" distR="0" wp14:anchorId="6D416825" wp14:editId="5A05E584">
            <wp:extent cx="2537460" cy="1902444"/>
            <wp:effectExtent l="0" t="0" r="0" b="3175"/>
            <wp:docPr id="6" name="Picture 9" descr="Первая линейка Третьего трудового 14-06-2012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 descr="Первая линейка Третьего трудового 14-06-2012_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079" cy="19119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C024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drawing>
          <wp:inline distT="0" distB="0" distL="0" distR="0" wp14:anchorId="5733C50A" wp14:editId="3D70CC46">
            <wp:extent cx="2740337" cy="1912228"/>
            <wp:effectExtent l="0" t="0" r="3175" b="0"/>
            <wp:docPr id="7" name="Picture 4" descr="Первая линейка Третьего трудового 14-06-2012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" descr="Первая линейка Третьего трудового 14-06-2012_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642" cy="19152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C06FE9" w:rsidRPr="00C024F6" w:rsidRDefault="00C06FE9" w:rsidP="00C06FE9">
      <w:pPr>
        <w:spacing w:after="0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06FE9" w:rsidRPr="00C024F6" w:rsidRDefault="00C06FE9" w:rsidP="00C06FE9">
      <w:pPr>
        <w:jc w:val="right"/>
        <w:rPr>
          <w:rFonts w:ascii="Times New Roman" w:hAnsi="Times New Roman" w:cs="Times New Roman"/>
          <w:sz w:val="24"/>
          <w:szCs w:val="24"/>
        </w:rPr>
      </w:pPr>
      <w:r w:rsidRPr="00C024F6">
        <w:rPr>
          <w:rFonts w:ascii="Times New Roman" w:hAnsi="Times New Roman" w:cs="Times New Roman"/>
          <w:i/>
          <w:iCs/>
          <w:sz w:val="24"/>
          <w:szCs w:val="24"/>
        </w:rPr>
        <w:t>Исследования проводили в соответствии с Европейской конвенцией по охране позвоночных животных, используемых в эксперименте, и директивами 86/609/ЕЕС/</w:t>
      </w:r>
    </w:p>
    <w:p w:rsidR="00C06FE9" w:rsidRPr="00C024F6" w:rsidRDefault="00C06FE9" w:rsidP="00C06FE9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C024F6">
        <w:rPr>
          <w:rFonts w:ascii="Times New Roman" w:hAnsi="Times New Roman" w:cs="Times New Roman"/>
          <w:i/>
          <w:iCs/>
          <w:sz w:val="24"/>
          <w:szCs w:val="24"/>
        </w:rPr>
        <w:t xml:space="preserve">Одобрено ЛЭК АГМУ (протокол № 12 от 12.05.2012 г.) </w:t>
      </w:r>
    </w:p>
    <w:p w:rsidR="00C06FE9" w:rsidRPr="00C024F6" w:rsidRDefault="00C06FE9" w:rsidP="00C06FE9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C06FE9" w:rsidRPr="00C024F6" w:rsidRDefault="00C06FE9" w:rsidP="00C06FE9">
      <w:pPr>
        <w:rPr>
          <w:rFonts w:ascii="Times New Roman" w:hAnsi="Times New Roman" w:cs="Times New Roman"/>
          <w:iCs/>
          <w:sz w:val="24"/>
          <w:szCs w:val="24"/>
        </w:rPr>
      </w:pPr>
      <w:r w:rsidRPr="00C024F6">
        <w:rPr>
          <w:rFonts w:ascii="Times New Roman" w:hAnsi="Times New Roman" w:cs="Times New Roman"/>
          <w:iCs/>
          <w:sz w:val="24"/>
          <w:szCs w:val="24"/>
        </w:rPr>
        <w:t xml:space="preserve">В плацебо-контролируемом исследовании на кроликах-самцах проводили активацию </w:t>
      </w:r>
      <w:proofErr w:type="spellStart"/>
      <w:r w:rsidRPr="00C024F6">
        <w:rPr>
          <w:rFonts w:ascii="Times New Roman" w:hAnsi="Times New Roman" w:cs="Times New Roman"/>
          <w:iCs/>
          <w:sz w:val="24"/>
          <w:szCs w:val="24"/>
        </w:rPr>
        <w:t>фибринолиза</w:t>
      </w:r>
      <w:proofErr w:type="spellEnd"/>
      <w:r w:rsidRPr="00C024F6">
        <w:rPr>
          <w:rFonts w:ascii="Times New Roman" w:hAnsi="Times New Roman" w:cs="Times New Roman"/>
          <w:iCs/>
          <w:sz w:val="24"/>
          <w:szCs w:val="24"/>
        </w:rPr>
        <w:t xml:space="preserve"> путем внутривенного (в/в) введения </w:t>
      </w:r>
      <w:proofErr w:type="spellStart"/>
      <w:r w:rsidRPr="00C024F6">
        <w:rPr>
          <w:rFonts w:ascii="Times New Roman" w:hAnsi="Times New Roman" w:cs="Times New Roman"/>
          <w:iCs/>
          <w:sz w:val="24"/>
          <w:szCs w:val="24"/>
        </w:rPr>
        <w:t>стрептокиназы</w:t>
      </w:r>
      <w:proofErr w:type="spellEnd"/>
      <w:r w:rsidRPr="00C024F6">
        <w:rPr>
          <w:rFonts w:ascii="Times New Roman" w:hAnsi="Times New Roman" w:cs="Times New Roman"/>
          <w:iCs/>
          <w:sz w:val="24"/>
          <w:szCs w:val="24"/>
        </w:rPr>
        <w:t xml:space="preserve"> в дозе 150 000 МЕ/кг. ФМ вводили в/</w:t>
      </w:r>
      <w:proofErr w:type="gramStart"/>
      <w:r w:rsidRPr="00C024F6">
        <w:rPr>
          <w:rFonts w:ascii="Times New Roman" w:hAnsi="Times New Roman" w:cs="Times New Roman"/>
          <w:iCs/>
          <w:sz w:val="24"/>
          <w:szCs w:val="24"/>
        </w:rPr>
        <w:t xml:space="preserve">в </w:t>
      </w:r>
      <w:proofErr w:type="spellStart"/>
      <w:r w:rsidRPr="00C024F6">
        <w:rPr>
          <w:rFonts w:ascii="Times New Roman" w:hAnsi="Times New Roman" w:cs="Times New Roman"/>
          <w:iCs/>
          <w:sz w:val="24"/>
          <w:szCs w:val="24"/>
        </w:rPr>
        <w:t>в</w:t>
      </w:r>
      <w:proofErr w:type="spellEnd"/>
      <w:proofErr w:type="gramEnd"/>
      <w:r w:rsidRPr="00C024F6">
        <w:rPr>
          <w:rFonts w:ascii="Times New Roman" w:hAnsi="Times New Roman" w:cs="Times New Roman"/>
          <w:iCs/>
          <w:sz w:val="24"/>
          <w:szCs w:val="24"/>
        </w:rPr>
        <w:t xml:space="preserve"> дозе 0,25 мг/кг за один час до травмы печени, </w:t>
      </w:r>
      <w:proofErr w:type="spellStart"/>
      <w:r w:rsidRPr="00C024F6">
        <w:rPr>
          <w:rFonts w:ascii="Times New Roman" w:hAnsi="Times New Roman" w:cs="Times New Roman"/>
          <w:iCs/>
          <w:sz w:val="24"/>
          <w:szCs w:val="24"/>
        </w:rPr>
        <w:t>транексамовую</w:t>
      </w:r>
      <w:proofErr w:type="spellEnd"/>
      <w:r w:rsidRPr="00C024F6">
        <w:rPr>
          <w:rFonts w:ascii="Times New Roman" w:hAnsi="Times New Roman" w:cs="Times New Roman"/>
          <w:iCs/>
          <w:sz w:val="24"/>
          <w:szCs w:val="24"/>
        </w:rPr>
        <w:t xml:space="preserve"> кислоту (ТК) в качестве препарата сравнения - в/в </w:t>
      </w:r>
      <w:proofErr w:type="spellStart"/>
      <w:r w:rsidRPr="00C024F6">
        <w:rPr>
          <w:rFonts w:ascii="Times New Roman" w:hAnsi="Times New Roman" w:cs="Times New Roman"/>
          <w:iCs/>
          <w:sz w:val="24"/>
          <w:szCs w:val="24"/>
        </w:rPr>
        <w:t>в</w:t>
      </w:r>
      <w:proofErr w:type="spellEnd"/>
      <w:r w:rsidRPr="00C024F6">
        <w:rPr>
          <w:rFonts w:ascii="Times New Roman" w:hAnsi="Times New Roman" w:cs="Times New Roman"/>
          <w:iCs/>
          <w:sz w:val="24"/>
          <w:szCs w:val="24"/>
        </w:rPr>
        <w:t xml:space="preserve"> дозе 15 мг/кг за 30минут до травмы. После </w:t>
      </w:r>
      <w:r w:rsidRPr="00C024F6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нанесения дозированной травмы оценивали кровопотерю в % от объема циркулирующей крови и по темпу потери крови (мг/с). Учитывали данные исследования числа тромбоцитов в крови, активированного парциального </w:t>
      </w:r>
      <w:proofErr w:type="spellStart"/>
      <w:r w:rsidRPr="00C024F6">
        <w:rPr>
          <w:rFonts w:ascii="Times New Roman" w:hAnsi="Times New Roman" w:cs="Times New Roman"/>
          <w:iCs/>
          <w:sz w:val="24"/>
          <w:szCs w:val="24"/>
        </w:rPr>
        <w:t>тромбопластинового</w:t>
      </w:r>
      <w:proofErr w:type="spellEnd"/>
      <w:r w:rsidRPr="00C024F6">
        <w:rPr>
          <w:rFonts w:ascii="Times New Roman" w:hAnsi="Times New Roman" w:cs="Times New Roman"/>
          <w:iCs/>
          <w:sz w:val="24"/>
          <w:szCs w:val="24"/>
        </w:rPr>
        <w:t xml:space="preserve"> времени (АПТВ), </w:t>
      </w:r>
      <w:proofErr w:type="spellStart"/>
      <w:r w:rsidRPr="00C024F6">
        <w:rPr>
          <w:rFonts w:ascii="Times New Roman" w:hAnsi="Times New Roman" w:cs="Times New Roman"/>
          <w:iCs/>
          <w:sz w:val="24"/>
          <w:szCs w:val="24"/>
        </w:rPr>
        <w:t>тромбинового</w:t>
      </w:r>
      <w:proofErr w:type="spellEnd"/>
      <w:r w:rsidRPr="00C024F6">
        <w:rPr>
          <w:rFonts w:ascii="Times New Roman" w:hAnsi="Times New Roman" w:cs="Times New Roman"/>
          <w:iCs/>
          <w:sz w:val="24"/>
          <w:szCs w:val="24"/>
        </w:rPr>
        <w:t xml:space="preserve"> времени (ТВ), концентрации фибриногена и результаты ротационной </w:t>
      </w:r>
      <w:proofErr w:type="spellStart"/>
      <w:r w:rsidRPr="00C024F6">
        <w:rPr>
          <w:rFonts w:ascii="Times New Roman" w:hAnsi="Times New Roman" w:cs="Times New Roman"/>
          <w:iCs/>
          <w:sz w:val="24"/>
          <w:szCs w:val="24"/>
        </w:rPr>
        <w:t>тромбоэластометрии</w:t>
      </w:r>
      <w:proofErr w:type="spellEnd"/>
      <w:r w:rsidRPr="00C024F6">
        <w:rPr>
          <w:rFonts w:ascii="Times New Roman" w:hAnsi="Times New Roman" w:cs="Times New Roman"/>
          <w:iCs/>
          <w:sz w:val="24"/>
          <w:szCs w:val="24"/>
        </w:rPr>
        <w:t xml:space="preserve"> крови.</w:t>
      </w:r>
    </w:p>
    <w:p w:rsidR="00C06FE9" w:rsidRPr="00C024F6" w:rsidRDefault="00C06FE9" w:rsidP="00C06FE9">
      <w:pPr>
        <w:rPr>
          <w:rFonts w:ascii="Times New Roman" w:hAnsi="Times New Roman" w:cs="Times New Roman"/>
          <w:sz w:val="24"/>
          <w:szCs w:val="24"/>
        </w:rPr>
      </w:pPr>
    </w:p>
    <w:p w:rsidR="00C06FE9" w:rsidRPr="00C024F6" w:rsidRDefault="00C06FE9" w:rsidP="00C06FE9">
      <w:pPr>
        <w:rPr>
          <w:rFonts w:ascii="Times New Roman" w:hAnsi="Times New Roman" w:cs="Times New Roman"/>
          <w:b/>
          <w:sz w:val="24"/>
          <w:szCs w:val="24"/>
        </w:rPr>
      </w:pPr>
      <w:r w:rsidRPr="00C024F6">
        <w:rPr>
          <w:rFonts w:ascii="Times New Roman" w:hAnsi="Times New Roman" w:cs="Times New Roman"/>
          <w:b/>
          <w:sz w:val="24"/>
          <w:szCs w:val="24"/>
        </w:rPr>
        <w:t>Результаты:</w:t>
      </w:r>
    </w:p>
    <w:p w:rsidR="00C024F6" w:rsidRPr="00C024F6" w:rsidRDefault="00C06FE9" w:rsidP="00C06FE9">
      <w:pPr>
        <w:rPr>
          <w:rFonts w:ascii="Times New Roman" w:hAnsi="Times New Roman" w:cs="Times New Roman"/>
          <w:sz w:val="24"/>
          <w:szCs w:val="24"/>
        </w:rPr>
      </w:pPr>
      <w:r w:rsidRPr="00C024F6">
        <w:rPr>
          <w:rFonts w:ascii="Times New Roman" w:hAnsi="Times New Roman" w:cs="Times New Roman"/>
          <w:sz w:val="24"/>
          <w:szCs w:val="24"/>
        </w:rPr>
        <w:t xml:space="preserve">Применение ФМ и ТК на фоне активации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фибринолиза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стрептокиназой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 снижало объем кровопотери в 11,0 и 15,4 раза, соответственно, а ее темп в 3,8 раза, по сравнению с группой плацебо, получавшей тот же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фибринолитик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. Введение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стрептокиназы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 во всех случаях сопровождалось уменьшением концентрации фибриногена на 23,0-30,0 % от исходного уровня, без изменения результатов АПТВ и ТВ.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Гемостатические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 эффекты ФМ и ТК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vivo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 фиксировались на фоне сохранения плотностных свойств сгустка крови (по показателям угол α, MCF и A10 при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тромбоэластометрии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) несмотря на введение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стрептокиназы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>, тогда как в группе с плацебо наблюдалось выраже</w:t>
      </w:r>
      <w:r w:rsidR="00C024F6" w:rsidRPr="00C024F6">
        <w:rPr>
          <w:rFonts w:ascii="Times New Roman" w:hAnsi="Times New Roman" w:cs="Times New Roman"/>
          <w:sz w:val="24"/>
          <w:szCs w:val="24"/>
        </w:rPr>
        <w:t>нное снижение данных параметров.</w:t>
      </w:r>
    </w:p>
    <w:p w:rsidR="00C024F6" w:rsidRPr="00C024F6" w:rsidRDefault="00C024F6" w:rsidP="00C06FE9">
      <w:pPr>
        <w:rPr>
          <w:rFonts w:ascii="Times New Roman" w:hAnsi="Times New Roman" w:cs="Times New Roman"/>
          <w:sz w:val="24"/>
          <w:szCs w:val="24"/>
        </w:rPr>
      </w:pPr>
      <w:r w:rsidRPr="00C024F6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D7133A7" wp14:editId="5AD76974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5958840" cy="685800"/>
                <wp:effectExtent l="0" t="0" r="0" b="0"/>
                <wp:wrapNone/>
                <wp:docPr id="19" name="Заголов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8840" cy="68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024F6" w:rsidRPr="00C024F6" w:rsidRDefault="00C024F6" w:rsidP="00C024F6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14"/>
                              </w:rPr>
                            </w:pPr>
                            <w:r w:rsidRPr="00C024F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Cs w:val="42"/>
                              </w:rPr>
                              <w:t xml:space="preserve">Макроскопическая картина кровотечения при дозированной травме печени </w:t>
                            </w:r>
                            <w:r w:rsidRPr="00C024F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Cs w:val="44"/>
                              </w:rPr>
                              <w:br/>
                            </w:r>
                            <w:r w:rsidRPr="00C024F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28"/>
                              </w:rPr>
                              <w:t>(через 70-75 мин после в/в введения растворов)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7133A7" id="_x0000_t202" coordsize="21600,21600" o:spt="202" path="m,l,21600r21600,l21600,xe">
                <v:stroke joinstyle="miter"/>
                <v:path gradientshapeok="t" o:connecttype="rect"/>
              </v:shapetype>
              <v:shape id="Заголовок 1" o:spid="_x0000_s1026" type="#_x0000_t202" style="position:absolute;margin-left:0;margin-top:19.55pt;width:469.2pt;height:54pt;z-index:251695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" filled="f" stroked="f">
                <v:path arrowok="t"/>
                <v:textbox>
                  <w:txbxContent>
                    <w:p w:rsidR="00C024F6" w:rsidRPr="00C024F6" w:rsidRDefault="00C024F6" w:rsidP="00C024F6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14"/>
                        </w:rPr>
                      </w:pPr>
                      <w:r w:rsidRPr="00C024F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Cs w:val="42"/>
                        </w:rPr>
                        <w:t xml:space="preserve">Макроскопическая картина кровотечения при дозированной травме печени </w:t>
                      </w:r>
                      <w:r w:rsidRPr="00C024F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Cs w:val="44"/>
                        </w:rPr>
                        <w:br/>
                      </w:r>
                      <w:r w:rsidRPr="00C024F6"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28"/>
                        </w:rPr>
                        <w:t>(через 70-75 мин после в/в введения растворов)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024F6" w:rsidRPr="00C024F6" w:rsidRDefault="00C024F6" w:rsidP="00C06FE9">
      <w:pPr>
        <w:rPr>
          <w:rFonts w:ascii="Times New Roman" w:hAnsi="Times New Roman" w:cs="Times New Roman"/>
          <w:sz w:val="24"/>
          <w:szCs w:val="24"/>
        </w:rPr>
      </w:pPr>
    </w:p>
    <w:p w:rsidR="00C024F6" w:rsidRPr="00C024F6" w:rsidRDefault="00C024F6" w:rsidP="00C06FE9">
      <w:pPr>
        <w:rPr>
          <w:rFonts w:ascii="Times New Roman" w:hAnsi="Times New Roman" w:cs="Times New Roman"/>
          <w:sz w:val="24"/>
          <w:szCs w:val="24"/>
        </w:rPr>
      </w:pPr>
    </w:p>
    <w:p w:rsidR="00C024F6" w:rsidRPr="00C024F6" w:rsidRDefault="00C024F6" w:rsidP="00C06FE9">
      <w:pPr>
        <w:rPr>
          <w:rFonts w:ascii="Times New Roman" w:hAnsi="Times New Roman" w:cs="Times New Roman"/>
          <w:sz w:val="24"/>
          <w:szCs w:val="24"/>
        </w:rPr>
      </w:pPr>
    </w:p>
    <w:p w:rsidR="00C024F6" w:rsidRPr="00C024F6" w:rsidRDefault="00C024F6" w:rsidP="00C06FE9">
      <w:pPr>
        <w:rPr>
          <w:rFonts w:ascii="Times New Roman" w:hAnsi="Times New Roman" w:cs="Times New Roman"/>
          <w:sz w:val="24"/>
          <w:szCs w:val="24"/>
        </w:rPr>
      </w:pPr>
      <w:r w:rsidRPr="00C024F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74D492" wp14:editId="698623ED">
            <wp:extent cx="5940425" cy="358838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8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4F6" w:rsidRDefault="00C024F6" w:rsidP="00C024F6">
      <w:pPr>
        <w:rPr>
          <w:rFonts w:ascii="Times New Roman" w:hAnsi="Times New Roman" w:cs="Times New Roman"/>
          <w:b/>
          <w:sz w:val="24"/>
          <w:szCs w:val="24"/>
        </w:rPr>
      </w:pPr>
    </w:p>
    <w:p w:rsidR="00C024F6" w:rsidRDefault="00C024F6" w:rsidP="00C024F6">
      <w:pPr>
        <w:rPr>
          <w:rFonts w:ascii="Times New Roman" w:hAnsi="Times New Roman" w:cs="Times New Roman"/>
          <w:b/>
          <w:sz w:val="24"/>
          <w:szCs w:val="24"/>
        </w:rPr>
      </w:pPr>
    </w:p>
    <w:p w:rsidR="00C024F6" w:rsidRDefault="00C024F6" w:rsidP="00C024F6">
      <w:pPr>
        <w:rPr>
          <w:rFonts w:ascii="Times New Roman" w:hAnsi="Times New Roman" w:cs="Times New Roman"/>
          <w:b/>
          <w:sz w:val="24"/>
          <w:szCs w:val="24"/>
        </w:rPr>
      </w:pPr>
    </w:p>
    <w:p w:rsidR="00C024F6" w:rsidRPr="00C024F6" w:rsidRDefault="00C024F6" w:rsidP="00C024F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024F6">
        <w:rPr>
          <w:rFonts w:ascii="Times New Roman" w:hAnsi="Times New Roman" w:cs="Times New Roman"/>
          <w:b/>
          <w:sz w:val="24"/>
          <w:szCs w:val="24"/>
        </w:rPr>
        <w:lastRenderedPageBreak/>
        <w:t>Заключение:</w:t>
      </w:r>
    </w:p>
    <w:p w:rsidR="00C024F6" w:rsidRPr="00C024F6" w:rsidRDefault="00C024F6" w:rsidP="00C024F6">
      <w:pPr>
        <w:rPr>
          <w:rFonts w:ascii="Times New Roman" w:hAnsi="Times New Roman" w:cs="Times New Roman"/>
          <w:sz w:val="24"/>
          <w:szCs w:val="24"/>
        </w:rPr>
      </w:pPr>
      <w:r w:rsidRPr="00C024F6">
        <w:rPr>
          <w:rFonts w:ascii="Times New Roman" w:hAnsi="Times New Roman" w:cs="Times New Roman"/>
          <w:sz w:val="24"/>
          <w:szCs w:val="24"/>
        </w:rPr>
        <w:t xml:space="preserve">Системные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гемостатические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 эффекты ФМ, взятого в дозе 0,25 мг/кг, при активации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фибринолиза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стрептокиназой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, оказались близки к эффектам ТК, что дает основания для рассмотрения ФМ в качестве перспективного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гемостатического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 препарата для минимизации кровотечений, связанных с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тромболизисом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>.</w:t>
      </w:r>
    </w:p>
    <w:p w:rsidR="00C024F6" w:rsidRPr="00C024F6" w:rsidRDefault="00C024F6" w:rsidP="00C06FE9">
      <w:pPr>
        <w:rPr>
          <w:rFonts w:ascii="Times New Roman" w:hAnsi="Times New Roman" w:cs="Times New Roman"/>
          <w:sz w:val="24"/>
          <w:szCs w:val="24"/>
        </w:rPr>
      </w:pPr>
    </w:p>
    <w:p w:rsidR="00C024F6" w:rsidRPr="00C024F6" w:rsidRDefault="00C024F6" w:rsidP="00C06FE9">
      <w:pPr>
        <w:rPr>
          <w:rFonts w:ascii="Times New Roman" w:hAnsi="Times New Roman" w:cs="Times New Roman"/>
          <w:sz w:val="24"/>
          <w:szCs w:val="24"/>
        </w:rPr>
      </w:pPr>
    </w:p>
    <w:p w:rsidR="00C024F6" w:rsidRPr="00C024F6" w:rsidRDefault="00C024F6" w:rsidP="00C06FE9">
      <w:pPr>
        <w:rPr>
          <w:rFonts w:ascii="Times New Roman" w:hAnsi="Times New Roman" w:cs="Times New Roman"/>
          <w:sz w:val="24"/>
          <w:szCs w:val="24"/>
        </w:rPr>
      </w:pPr>
      <w:r w:rsidRPr="00C024F6">
        <w:rPr>
          <w:rFonts w:ascii="Times New Roman" w:hAnsi="Times New Roman" w:cs="Times New Roman"/>
          <w:sz w:val="24"/>
          <w:szCs w:val="24"/>
        </w:rPr>
        <w:t>Список литературы:</w:t>
      </w:r>
    </w:p>
    <w:p w:rsidR="00C024F6" w:rsidRPr="00C024F6" w:rsidRDefault="00C024F6" w:rsidP="00C024F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24F6">
        <w:rPr>
          <w:rFonts w:ascii="Times New Roman" w:hAnsi="Times New Roman" w:cs="Times New Roman"/>
          <w:sz w:val="24"/>
          <w:szCs w:val="24"/>
        </w:rPr>
        <w:t xml:space="preserve">В. М. Вдовин, А. П.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Момот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, Д. А. Орехов, В. О.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Красюкова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, И. И. Шахматов, Н. А.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Лычёва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, Д. А.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Момот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, В. Е.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Чернусь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 В. В. Теряев. "Минимизация посттравматического кровотечения при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тромболитической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 терапии путем системного введения фибрин-мономера в эксперименте" Патология кровообращения и кардиохирургия,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. 24,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 xml:space="preserve">. 1, 2020, </w:t>
      </w:r>
      <w:proofErr w:type="spellStart"/>
      <w:r w:rsidRPr="00C024F6">
        <w:rPr>
          <w:rFonts w:ascii="Times New Roman" w:hAnsi="Times New Roman" w:cs="Times New Roman"/>
          <w:sz w:val="24"/>
          <w:szCs w:val="24"/>
        </w:rPr>
        <w:t>pp</w:t>
      </w:r>
      <w:proofErr w:type="spellEnd"/>
      <w:r w:rsidRPr="00C024F6">
        <w:rPr>
          <w:rFonts w:ascii="Times New Roman" w:hAnsi="Times New Roman" w:cs="Times New Roman"/>
          <w:sz w:val="24"/>
          <w:szCs w:val="24"/>
        </w:rPr>
        <w:t>. 78-86. doi:10.21688/1681-3472-2020-1-78-86</w:t>
      </w:r>
    </w:p>
    <w:sectPr w:rsidR="00C024F6" w:rsidRPr="00C02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E127E1"/>
    <w:multiLevelType w:val="hybridMultilevel"/>
    <w:tmpl w:val="AFFCF6B6"/>
    <w:lvl w:ilvl="0" w:tplc="F8243A0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FE1"/>
    <w:rsid w:val="00354FE1"/>
    <w:rsid w:val="003E3455"/>
    <w:rsid w:val="00915FE5"/>
    <w:rsid w:val="00C024F6"/>
    <w:rsid w:val="00C06FE9"/>
    <w:rsid w:val="00CD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45B05"/>
  <w15:chartTrackingRefBased/>
  <w15:docId w15:val="{415A5571-ED68-4737-8EE9-A7A0BCC60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6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02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3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Vyacheslav Teryaev</dc:creator>
  <cp:keywords/>
  <dc:description/>
  <cp:lastModifiedBy>Vyacheslav Teryaev</cp:lastModifiedBy>
  <cp:revision>2</cp:revision>
  <dcterms:created xsi:type="dcterms:W3CDTF">2020-10-29T11:05:00Z</dcterms:created>
  <dcterms:modified xsi:type="dcterms:W3CDTF">2020-10-29T11:34:00Z</dcterms:modified>
</cp:coreProperties>
</file>