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3AD5" w:rsidRDefault="002C4D37" w:rsidP="00073AD5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35353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53535"/>
          <w:sz w:val="24"/>
          <w:szCs w:val="24"/>
          <w:lang w:eastAsia="ru-RU"/>
        </w:rPr>
        <w:t>Информационные</w:t>
      </w:r>
      <w:r w:rsidR="00073AD5" w:rsidRPr="00073AD5">
        <w:rPr>
          <w:rFonts w:ascii="Times New Roman" w:eastAsia="Times New Roman" w:hAnsi="Times New Roman" w:cs="Times New Roman"/>
          <w:b/>
          <w:bCs/>
          <w:color w:val="353535"/>
          <w:sz w:val="24"/>
          <w:szCs w:val="24"/>
          <w:lang w:eastAsia="ru-RU"/>
        </w:rPr>
        <w:t xml:space="preserve"> систе</w:t>
      </w:r>
      <w:r>
        <w:rPr>
          <w:rFonts w:ascii="Times New Roman" w:eastAsia="Times New Roman" w:hAnsi="Times New Roman" w:cs="Times New Roman"/>
          <w:b/>
          <w:bCs/>
          <w:color w:val="353535"/>
          <w:sz w:val="24"/>
          <w:szCs w:val="24"/>
          <w:lang w:eastAsia="ru-RU"/>
        </w:rPr>
        <w:t>мы для организации работы центров</w:t>
      </w:r>
      <w:r w:rsidR="00073AD5" w:rsidRPr="00073AD5">
        <w:rPr>
          <w:rFonts w:ascii="Times New Roman" w:eastAsia="Times New Roman" w:hAnsi="Times New Roman" w:cs="Times New Roman"/>
          <w:b/>
          <w:bCs/>
          <w:color w:val="353535"/>
          <w:sz w:val="24"/>
          <w:szCs w:val="24"/>
          <w:lang w:eastAsia="ru-RU"/>
        </w:rPr>
        <w:t xml:space="preserve"> дополнительного образования</w:t>
      </w:r>
    </w:p>
    <w:p w:rsidR="00073AD5" w:rsidRDefault="00073AD5" w:rsidP="00073AD5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35353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353535"/>
          <w:sz w:val="24"/>
          <w:szCs w:val="24"/>
          <w:lang w:eastAsia="ru-RU"/>
        </w:rPr>
        <w:t>Сметанина Полина Степановна</w:t>
      </w:r>
    </w:p>
    <w:p w:rsidR="00073AD5" w:rsidRPr="00073AD5" w:rsidRDefault="00073AD5" w:rsidP="00073AD5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53535"/>
          <w:sz w:val="23"/>
          <w:szCs w:val="23"/>
          <w:lang w:eastAsia="ru-RU"/>
        </w:rPr>
      </w:pPr>
      <w:r w:rsidRPr="00073AD5">
        <w:rPr>
          <w:rFonts w:ascii="Times New Roman" w:eastAsia="Times New Roman" w:hAnsi="Times New Roman" w:cs="Times New Roman"/>
          <w:bCs/>
          <w:i/>
          <w:iCs/>
          <w:color w:val="353535"/>
          <w:sz w:val="24"/>
          <w:szCs w:val="24"/>
          <w:lang w:eastAsia="ru-RU"/>
        </w:rPr>
        <w:t>Студент</w:t>
      </w:r>
    </w:p>
    <w:p w:rsidR="00073AD5" w:rsidRPr="00073AD5" w:rsidRDefault="00073AD5" w:rsidP="00073AD5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53535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353535"/>
          <w:sz w:val="24"/>
          <w:szCs w:val="24"/>
          <w:lang w:eastAsia="ru-RU"/>
        </w:rPr>
        <w:t>Алтайский государственный университет</w:t>
      </w:r>
      <w:r w:rsidRPr="00073AD5">
        <w:rPr>
          <w:rFonts w:ascii="Times New Roman" w:eastAsia="Times New Roman" w:hAnsi="Times New Roman" w:cs="Times New Roman"/>
          <w:i/>
          <w:iCs/>
          <w:color w:val="353535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i/>
          <w:iCs/>
          <w:color w:val="353535"/>
          <w:sz w:val="24"/>
          <w:szCs w:val="24"/>
          <w:lang w:eastAsia="ru-RU"/>
        </w:rPr>
        <w:t xml:space="preserve"> институт искусств и дизайна, группа 1397</w:t>
      </w:r>
      <w:r>
        <w:rPr>
          <w:rFonts w:ascii="Times New Roman" w:eastAsia="Times New Roman" w:hAnsi="Times New Roman" w:cs="Times New Roman"/>
          <w:i/>
          <w:iCs/>
          <w:color w:val="353535"/>
          <w:sz w:val="24"/>
          <w:szCs w:val="24"/>
          <w:lang w:val="en-US" w:eastAsia="ru-RU"/>
        </w:rPr>
        <w:t>M</w:t>
      </w:r>
      <w:r>
        <w:rPr>
          <w:rFonts w:ascii="Times New Roman" w:eastAsia="Times New Roman" w:hAnsi="Times New Roman" w:cs="Times New Roman"/>
          <w:i/>
          <w:iCs/>
          <w:color w:val="353535"/>
          <w:sz w:val="24"/>
          <w:szCs w:val="24"/>
          <w:lang w:eastAsia="ru-RU"/>
        </w:rPr>
        <w:t>, Барнаул, Россия</w:t>
      </w:r>
      <w:r w:rsidRPr="00073AD5">
        <w:rPr>
          <w:rFonts w:ascii="Times New Roman" w:eastAsia="Times New Roman" w:hAnsi="Times New Roman" w:cs="Times New Roman"/>
          <w:i/>
          <w:iCs/>
          <w:color w:val="353535"/>
          <w:sz w:val="24"/>
          <w:szCs w:val="24"/>
          <w:lang w:eastAsia="ru-RU"/>
        </w:rPr>
        <w:t> </w:t>
      </w:r>
    </w:p>
    <w:p w:rsidR="00073AD5" w:rsidRPr="00073AD5" w:rsidRDefault="00073AD5" w:rsidP="00073AD5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53535"/>
          <w:sz w:val="23"/>
          <w:szCs w:val="23"/>
          <w:lang w:val="en-US" w:eastAsia="ru-RU"/>
        </w:rPr>
      </w:pPr>
      <w:r w:rsidRPr="00073AD5">
        <w:rPr>
          <w:rFonts w:ascii="Times New Roman" w:eastAsia="Times New Roman" w:hAnsi="Times New Roman" w:cs="Times New Roman"/>
          <w:i/>
          <w:iCs/>
          <w:color w:val="353535"/>
          <w:sz w:val="24"/>
          <w:szCs w:val="24"/>
          <w:lang w:val="en-US" w:eastAsia="ru-RU"/>
        </w:rPr>
        <w:t xml:space="preserve">E–mail: </w:t>
      </w:r>
      <w:r>
        <w:rPr>
          <w:rFonts w:ascii="Times New Roman" w:eastAsia="Times New Roman" w:hAnsi="Times New Roman" w:cs="Times New Roman"/>
          <w:i/>
          <w:iCs/>
          <w:color w:val="353535"/>
          <w:sz w:val="24"/>
          <w:szCs w:val="24"/>
          <w:lang w:val="en-US" w:eastAsia="ru-RU"/>
        </w:rPr>
        <w:t>palimkasp</w:t>
      </w:r>
      <w:r w:rsidRPr="00073AD5">
        <w:rPr>
          <w:rFonts w:ascii="Times New Roman" w:eastAsia="Times New Roman" w:hAnsi="Times New Roman" w:cs="Times New Roman"/>
          <w:i/>
          <w:iCs/>
          <w:color w:val="353535"/>
          <w:sz w:val="24"/>
          <w:szCs w:val="24"/>
          <w:lang w:val="en-US" w:eastAsia="ru-RU"/>
        </w:rPr>
        <w:t>@yandex.ru</w:t>
      </w:r>
    </w:p>
    <w:p w:rsidR="001A2BF4" w:rsidRDefault="000A5706" w:rsidP="001B6017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В современном мире </w:t>
      </w:r>
      <w:r w:rsidR="001A2BF4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проблема </w:t>
      </w:r>
      <w:r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оптимизация информационных процессов </w:t>
      </w:r>
      <w:r w:rsidR="001A2BF4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приобретает все большую популярность. Значительное количество времени уходит на обработку получаемой информации, в связи с чем, остается меньше времени на преподавательскую деятельность. Для того чтобы сделать деятельность учебных центров более эффективной в последнее время активно внедряются </w:t>
      </w:r>
      <w:r w:rsidR="001A2BF4">
        <w:rPr>
          <w:rFonts w:ascii="Times New Roman" w:eastAsia="Times New Roman" w:hAnsi="Times New Roman" w:cs="Times New Roman"/>
          <w:color w:val="353535"/>
          <w:sz w:val="24"/>
          <w:szCs w:val="24"/>
          <w:lang w:val="en-US" w:eastAsia="ru-RU"/>
        </w:rPr>
        <w:t>CRM</w:t>
      </w:r>
      <w:r w:rsidR="001A2BF4" w:rsidRPr="001A2BF4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-</w:t>
      </w:r>
      <w:r w:rsidR="001A2BF4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системы</w:t>
      </w:r>
      <w:r w:rsidR="001A2BF4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 для автоматизации работы. Такие системы позволяют настроить связь между преподавателями и родителями (в случае работы </w:t>
      </w:r>
      <w:r w:rsidR="00625B7B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с обучающимися</w:t>
      </w:r>
      <w:r w:rsidR="001A2BF4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 школьного возраста), учениками и руководителям</w:t>
      </w:r>
      <w:r w:rsidR="00625B7B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и </w:t>
      </w:r>
      <w:r w:rsidR="001A2BF4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центров. Кроме того, в подобных системах предусмотрен бухгалтерский учет и контроль деятельности центра (оплата абонементов, выдача заработной платы, арендные платежи).</w:t>
      </w:r>
    </w:p>
    <w:p w:rsidR="001A2BF4" w:rsidRDefault="001A2BF4" w:rsidP="001B6017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На рынке существует множество решений для автоматизации, однако данные </w:t>
      </w:r>
      <w:r w:rsidR="00625B7B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они не лишены недостатков</w:t>
      </w:r>
      <w:r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. </w:t>
      </w:r>
      <w:r w:rsidR="002E1C12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Альфа </w:t>
      </w:r>
      <w:r w:rsidR="002E1C12">
        <w:rPr>
          <w:rFonts w:ascii="Times New Roman" w:eastAsia="Times New Roman" w:hAnsi="Times New Roman" w:cs="Times New Roman"/>
          <w:color w:val="353535"/>
          <w:sz w:val="24"/>
          <w:szCs w:val="24"/>
          <w:lang w:val="en-US" w:eastAsia="ru-RU"/>
        </w:rPr>
        <w:t>CRM</w:t>
      </w:r>
      <w:r w:rsidR="002E1C12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, одно из самых популярных решений, обладает обширным функционалом, однако в нем делается упор на обработку получаемых заявок и ведение учета посещения занятий. В данной системе контроль учебной деятельности имеет далеко не первостепенное значение, нет автоматического расчёта заработной платы, аналитика </w:t>
      </w:r>
      <w:r w:rsidR="00625B7B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недостаточная</w:t>
      </w:r>
      <w:r w:rsidR="00D243BC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.</w:t>
      </w:r>
      <w:r w:rsidR="002E1C12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 Следующая система – Параплан, в ней, в отличие от предыдущей предусмотрен </w:t>
      </w:r>
      <w:r w:rsidR="00D243BC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расчёт</w:t>
      </w:r>
      <w:r w:rsidR="002E1C12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 заработной платы, однако полностью отсутствует </w:t>
      </w:r>
      <w:r w:rsidR="00D243BC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контроль успеваемости обучающихся. Третья из рассматриваемых систем – «Мой класс». К недостаткам данной системы можно также отнести отсутствие подробной статистики успеваемости. Есть еще множество подобных систем, однако в них всех есть некоторые недостатки</w:t>
      </w:r>
      <w:r w:rsidR="006F0343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, например</w:t>
      </w:r>
      <w:r w:rsidR="00D243BC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 – отсутствие</w:t>
      </w:r>
      <w:r w:rsidR="003D7597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 подробной аналитики и</w:t>
      </w:r>
      <w:r w:rsidR="00D243BC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 статистики успеваемости учеников</w:t>
      </w:r>
      <w:r w:rsidR="003D7597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, избыточное либо недостаточное количество функций для управления абонементами и пользователями</w:t>
      </w:r>
      <w:r w:rsidR="00D243BC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. Кроме того, существуют системы для контроля клиентов, </w:t>
      </w:r>
      <w:r w:rsidR="001B6017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например,</w:t>
      </w:r>
      <w:r w:rsidR="00D243BC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 </w:t>
      </w:r>
      <w:proofErr w:type="spellStart"/>
      <w:r w:rsidR="00D243BC">
        <w:rPr>
          <w:rFonts w:ascii="Times New Roman" w:eastAsia="Times New Roman" w:hAnsi="Times New Roman" w:cs="Times New Roman"/>
          <w:color w:val="353535"/>
          <w:sz w:val="24"/>
          <w:szCs w:val="24"/>
          <w:lang w:val="en-US" w:eastAsia="ru-RU"/>
        </w:rPr>
        <w:t>Bitrix</w:t>
      </w:r>
      <w:proofErr w:type="spellEnd"/>
      <w:r w:rsidR="00D243BC" w:rsidRPr="00D243BC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24 </w:t>
      </w:r>
      <w:r w:rsidR="00D243BC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или </w:t>
      </w:r>
      <w:r w:rsidR="00D243BC">
        <w:rPr>
          <w:rFonts w:ascii="Times New Roman" w:eastAsia="Times New Roman" w:hAnsi="Times New Roman" w:cs="Times New Roman"/>
          <w:color w:val="353535"/>
          <w:sz w:val="24"/>
          <w:szCs w:val="24"/>
          <w:lang w:val="en-US" w:eastAsia="ru-RU"/>
        </w:rPr>
        <w:t>Mango</w:t>
      </w:r>
      <w:r w:rsidR="00D243BC" w:rsidRPr="00D243BC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 </w:t>
      </w:r>
      <w:r w:rsidR="00D243BC">
        <w:rPr>
          <w:rFonts w:ascii="Times New Roman" w:eastAsia="Times New Roman" w:hAnsi="Times New Roman" w:cs="Times New Roman"/>
          <w:color w:val="353535"/>
          <w:sz w:val="24"/>
          <w:szCs w:val="24"/>
          <w:lang w:val="en-US" w:eastAsia="ru-RU"/>
        </w:rPr>
        <w:t>Office</w:t>
      </w:r>
      <w:r w:rsidR="00D243BC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, н</w:t>
      </w:r>
      <w:r w:rsidR="00625B7B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о</w:t>
      </w:r>
      <w:r w:rsidR="00D243BC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 в данных решениях сделан акцент на маркетинговые инструменты. </w:t>
      </w:r>
    </w:p>
    <w:p w:rsidR="00D65BE0" w:rsidRDefault="001B6017" w:rsidP="001B6017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В первую очередь для разработки действительно удобной системы необходимо описать все требования, предъявляемые к ней. Так как основной потребитель – учебные центры, в первую очередь должен быть сделан упор на контроль успеваемости обучающихся, в отличие от обычных </w:t>
      </w:r>
      <w:r>
        <w:rPr>
          <w:rFonts w:ascii="Times New Roman" w:eastAsia="Times New Roman" w:hAnsi="Times New Roman" w:cs="Times New Roman"/>
          <w:color w:val="353535"/>
          <w:sz w:val="24"/>
          <w:szCs w:val="24"/>
          <w:lang w:val="en-US" w:eastAsia="ru-RU"/>
        </w:rPr>
        <w:t>CRM</w:t>
      </w:r>
      <w:r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-систем. На рисунке 1 представлены основные возможности, необходимые учреждениям дополнительного образования.</w:t>
      </w:r>
    </w:p>
    <w:p w:rsidR="00D65BE0" w:rsidRDefault="00D65BE0" w:rsidP="00625B7B">
      <w:pPr>
        <w:keepNext/>
        <w:shd w:val="clear" w:color="auto" w:fill="FFFFFF"/>
        <w:spacing w:before="120" w:after="0" w:line="240" w:lineRule="auto"/>
        <w:ind w:firstLine="426"/>
        <w:jc w:val="center"/>
      </w:pPr>
      <w:r>
        <w:rPr>
          <w:noProof/>
          <w:lang w:eastAsia="ru-RU"/>
        </w:rPr>
        <w:drawing>
          <wp:inline distT="0" distB="0" distL="0" distR="0" wp14:anchorId="6B94BDDB" wp14:editId="44446D20">
            <wp:extent cx="3973286" cy="1999976"/>
            <wp:effectExtent l="0" t="0" r="8255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6622" cy="2031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2BF4" w:rsidRPr="00625B7B" w:rsidRDefault="00D65BE0" w:rsidP="00D65BE0">
      <w:pPr>
        <w:pStyle w:val="a6"/>
        <w:jc w:val="center"/>
        <w:rPr>
          <w:rFonts w:ascii="Times New Roman" w:eastAsia="Times New Roman" w:hAnsi="Times New Roman" w:cs="Times New Roman"/>
          <w:i w:val="0"/>
          <w:color w:val="000000" w:themeColor="text1"/>
          <w:sz w:val="36"/>
          <w:szCs w:val="24"/>
          <w:lang w:eastAsia="ru-RU"/>
        </w:rPr>
      </w:pPr>
      <w:r w:rsidRPr="00625B7B">
        <w:rPr>
          <w:rFonts w:ascii="Times New Roman" w:hAnsi="Times New Roman" w:cs="Times New Roman"/>
          <w:i w:val="0"/>
          <w:color w:val="000000" w:themeColor="text1"/>
          <w:sz w:val="24"/>
        </w:rPr>
        <w:t xml:space="preserve">Рисунок </w:t>
      </w:r>
      <w:r w:rsidRPr="00625B7B">
        <w:rPr>
          <w:rFonts w:ascii="Times New Roman" w:hAnsi="Times New Roman" w:cs="Times New Roman"/>
          <w:i w:val="0"/>
          <w:color w:val="000000" w:themeColor="text1"/>
          <w:sz w:val="24"/>
        </w:rPr>
        <w:fldChar w:fldCharType="begin"/>
      </w:r>
      <w:r w:rsidRPr="00625B7B">
        <w:rPr>
          <w:rFonts w:ascii="Times New Roman" w:hAnsi="Times New Roman" w:cs="Times New Roman"/>
          <w:i w:val="0"/>
          <w:color w:val="000000" w:themeColor="text1"/>
          <w:sz w:val="24"/>
        </w:rPr>
        <w:instrText xml:space="preserve"> SEQ Рисунок \* ARABIC </w:instrText>
      </w:r>
      <w:r w:rsidRPr="00625B7B">
        <w:rPr>
          <w:rFonts w:ascii="Times New Roman" w:hAnsi="Times New Roman" w:cs="Times New Roman"/>
          <w:i w:val="0"/>
          <w:color w:val="000000" w:themeColor="text1"/>
          <w:sz w:val="24"/>
        </w:rPr>
        <w:fldChar w:fldCharType="separate"/>
      </w:r>
      <w:r w:rsidRPr="00625B7B">
        <w:rPr>
          <w:rFonts w:ascii="Times New Roman" w:hAnsi="Times New Roman" w:cs="Times New Roman"/>
          <w:i w:val="0"/>
          <w:noProof/>
          <w:color w:val="000000" w:themeColor="text1"/>
          <w:sz w:val="24"/>
        </w:rPr>
        <w:t>1</w:t>
      </w:r>
      <w:r w:rsidRPr="00625B7B">
        <w:rPr>
          <w:rFonts w:ascii="Times New Roman" w:hAnsi="Times New Roman" w:cs="Times New Roman"/>
          <w:i w:val="0"/>
          <w:color w:val="000000" w:themeColor="text1"/>
          <w:sz w:val="24"/>
        </w:rPr>
        <w:fldChar w:fldCharType="end"/>
      </w:r>
      <w:r w:rsidR="00625B7B" w:rsidRPr="00625B7B">
        <w:rPr>
          <w:rFonts w:ascii="Times New Roman" w:hAnsi="Times New Roman" w:cs="Times New Roman"/>
          <w:i w:val="0"/>
          <w:color w:val="000000" w:themeColor="text1"/>
          <w:sz w:val="24"/>
        </w:rPr>
        <w:t xml:space="preserve"> – Функционал </w:t>
      </w:r>
      <w:r w:rsidR="00625B7B" w:rsidRPr="00625B7B">
        <w:rPr>
          <w:rFonts w:ascii="Times New Roman" w:hAnsi="Times New Roman" w:cs="Times New Roman"/>
          <w:i w:val="0"/>
          <w:color w:val="000000" w:themeColor="text1"/>
          <w:sz w:val="24"/>
          <w:lang w:val="en-US"/>
        </w:rPr>
        <w:t>CRM</w:t>
      </w:r>
      <w:r w:rsidR="00625B7B" w:rsidRPr="00625B7B">
        <w:rPr>
          <w:rFonts w:ascii="Times New Roman" w:hAnsi="Times New Roman" w:cs="Times New Roman"/>
          <w:i w:val="0"/>
          <w:color w:val="000000" w:themeColor="text1"/>
          <w:sz w:val="24"/>
        </w:rPr>
        <w:t>-системы для учебного центра</w:t>
      </w:r>
    </w:p>
    <w:p w:rsidR="00D65BE0" w:rsidRDefault="00D65BE0" w:rsidP="00D65BE0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lastRenderedPageBreak/>
        <w:t>После составления требований необходимо спроектировать информационную архитектуру приложения, продумать функции и адаптивность продукта, разработать прототип интерфейса</w:t>
      </w:r>
      <w:r w:rsidR="005F27B3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 [3,</w:t>
      </w:r>
      <w:r w:rsidR="005F27B3" w:rsidRPr="005F27B3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 </w:t>
      </w:r>
      <w:r w:rsidR="005F27B3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4</w:t>
      </w:r>
      <w:r w:rsidR="005F27B3" w:rsidRPr="005F27B3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]</w:t>
      </w:r>
      <w:r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. При проектировании очень важно не забывать про то, что интерфейс</w:t>
      </w:r>
      <w:r w:rsidR="00625B7B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 должен быть интуитивно понятен и</w:t>
      </w:r>
      <w:r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 пользователь мог</w:t>
      </w:r>
      <w:r w:rsidR="002A3873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 легко</w:t>
      </w:r>
      <w:r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 взаимодействовать с </w:t>
      </w:r>
      <w:r w:rsidR="002A3873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ним.</w:t>
      </w:r>
      <w:r w:rsidR="00625B7B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 </w:t>
      </w:r>
      <w:r w:rsidR="002A3873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Интерфейс обязательно должен быть узнаваемым, человек должен понимать, с чем</w:t>
      </w:r>
      <w:r w:rsidR="00625B7B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 он</w:t>
      </w:r>
      <w:r w:rsidR="002A3873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 взаимодействуют через интерфейс и процесс взаимодействия должен быть предсказуем</w:t>
      </w:r>
      <w:r w:rsidR="005F27B3" w:rsidRPr="005F27B3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 [5]</w:t>
      </w:r>
      <w:r w:rsidR="002A3873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. Таким образом, при раз</w:t>
      </w:r>
      <w:r w:rsidR="00625B7B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работке системы необходимо продумывать то, как выглядит интерфейс и то, как он воспринимается</w:t>
      </w:r>
      <w:r w:rsidR="005F27B3" w:rsidRPr="005F27B3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 [1, 2]</w:t>
      </w:r>
      <w:r w:rsidR="00625B7B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. </w:t>
      </w:r>
    </w:p>
    <w:p w:rsidR="00625B7B" w:rsidRDefault="00625B7B" w:rsidP="00D65BE0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Удачно спроектированный интерфейс положительно влияет на восприятие и повышает уровень принятия продукта. В первую очередь при проектировании интерфейсов – понять цели клиентов и то, как продукт будет использоваться. </w:t>
      </w:r>
    </w:p>
    <w:p w:rsidR="00EE6A37" w:rsidRPr="00D65BE0" w:rsidRDefault="00EE6A37" w:rsidP="00D65BE0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</w:pPr>
    </w:p>
    <w:p w:rsidR="00073AD5" w:rsidRPr="00073AD5" w:rsidRDefault="00073AD5" w:rsidP="00073AD5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53535"/>
          <w:sz w:val="23"/>
          <w:szCs w:val="23"/>
          <w:lang w:eastAsia="ru-RU"/>
        </w:rPr>
      </w:pPr>
      <w:r w:rsidRPr="00073AD5">
        <w:rPr>
          <w:rFonts w:ascii="Times New Roman" w:eastAsia="Times New Roman" w:hAnsi="Times New Roman" w:cs="Times New Roman"/>
          <w:b/>
          <w:bCs/>
          <w:color w:val="353535"/>
          <w:sz w:val="24"/>
          <w:szCs w:val="24"/>
          <w:lang w:eastAsia="ru-RU"/>
        </w:rPr>
        <w:t>Литература</w:t>
      </w:r>
    </w:p>
    <w:p w:rsidR="000A5706" w:rsidRPr="000A5706" w:rsidRDefault="000A5706" w:rsidP="000A570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</w:pPr>
      <w:r w:rsidRPr="000A5706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ГОСТ Р ИСО 9241-151-2014 Эргономика взаимодействия человек-система. Часть 151. Руководство</w:t>
      </w:r>
      <w:r w:rsidRPr="000A5706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 по проектированию пользователь</w:t>
      </w:r>
      <w:r w:rsidRPr="000A5706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ских интерфейсов сети Интернет. М., 2014. URL:</w:t>
      </w:r>
      <w:r w:rsidRPr="000A5706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 </w:t>
      </w:r>
      <w:hyperlink r:id="rId6" w:history="1">
        <w:r w:rsidRPr="000A5706">
          <w:rPr>
            <w:rFonts w:ascii="Times New Roman" w:eastAsia="Times New Roman" w:hAnsi="Times New Roman" w:cs="Times New Roman"/>
            <w:color w:val="353535"/>
            <w:sz w:val="24"/>
            <w:szCs w:val="24"/>
            <w:lang w:eastAsia="ru-RU"/>
          </w:rPr>
          <w:t>http://docs.cntd.ru/document/1200113012</w:t>
        </w:r>
      </w:hyperlink>
      <w:r w:rsidRPr="000A5706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.</w:t>
      </w:r>
    </w:p>
    <w:p w:rsidR="000A5706" w:rsidRPr="000A5706" w:rsidRDefault="000A5706" w:rsidP="000A570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</w:pPr>
      <w:r w:rsidRPr="000A5706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ГОСТ Р ИСО 9241-210-2016. Эргономика взаимодействия человек-система. Часть 210. Человеко-ори</w:t>
      </w:r>
      <w:r w:rsidRPr="000A5706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ентированное проектирование ин</w:t>
      </w:r>
      <w:r w:rsidRPr="000A5706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терактивных систем. М., 2017. URL: http://www.internetlaw.ru/gosts/gost/63110.</w:t>
      </w:r>
    </w:p>
    <w:p w:rsidR="000A5706" w:rsidRPr="000A5706" w:rsidRDefault="000A5706" w:rsidP="005F27B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</w:pPr>
      <w:r w:rsidRPr="000A5706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Купер А., Рейм</w:t>
      </w:r>
      <w:bookmarkStart w:id="0" w:name="_GoBack"/>
      <w:bookmarkEnd w:id="0"/>
      <w:r w:rsidRPr="000A5706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ан Р., </w:t>
      </w:r>
      <w:proofErr w:type="spellStart"/>
      <w:r w:rsidRPr="000A5706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Кронин</w:t>
      </w:r>
      <w:proofErr w:type="spellEnd"/>
      <w:r w:rsidRPr="000A5706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 Д. “Об интерфейсе. Основы проектирования взаимодействия” – Пер. с англ. – </w:t>
      </w:r>
      <w:proofErr w:type="spellStart"/>
      <w:proofErr w:type="gramStart"/>
      <w:r w:rsidRPr="000A5706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Спб</w:t>
      </w:r>
      <w:proofErr w:type="spellEnd"/>
      <w:r w:rsidRPr="000A5706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.:</w:t>
      </w:r>
      <w:proofErr w:type="gramEnd"/>
      <w:r w:rsidRPr="000A5706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 Символ-Плюс, 2009. – 688с., ил. </w:t>
      </w:r>
    </w:p>
    <w:p w:rsidR="000A5706" w:rsidRPr="000A5706" w:rsidRDefault="000A5706" w:rsidP="000A570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</w:pPr>
      <w:r w:rsidRPr="000A5706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Унгер, Р. UX-дизайн. Практическое руководство по проектированию опыта взаимодействия / Р. Унгер, К. </w:t>
      </w:r>
      <w:proofErr w:type="spellStart"/>
      <w:r w:rsidRPr="000A5706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Чендлер</w:t>
      </w:r>
      <w:proofErr w:type="spellEnd"/>
      <w:r w:rsidRPr="000A5706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; пер. с</w:t>
      </w:r>
      <w:r w:rsidRPr="000A5706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 </w:t>
      </w:r>
      <w:r w:rsidRPr="000A5706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англ. – </w:t>
      </w:r>
      <w:proofErr w:type="gramStart"/>
      <w:r w:rsidRPr="000A5706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СПб.:</w:t>
      </w:r>
      <w:proofErr w:type="gramEnd"/>
      <w:r w:rsidRPr="000A5706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 Символ-Плюс, 2011. – 327 с.</w:t>
      </w:r>
    </w:p>
    <w:p w:rsidR="000A5706" w:rsidRPr="000A5706" w:rsidRDefault="000A5706" w:rsidP="00AB737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</w:pPr>
      <w:r w:rsidRPr="000A5706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UX-дизайн. Идея – эскиз – воплощение / С. Гринберг [и др.]. –</w:t>
      </w:r>
      <w:r w:rsidRPr="000A5706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 </w:t>
      </w:r>
      <w:proofErr w:type="gramStart"/>
      <w:r w:rsidRPr="000A5706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СПб.:</w:t>
      </w:r>
      <w:proofErr w:type="gramEnd"/>
      <w:r w:rsidRPr="000A5706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 Питер, 2014. – 272 с.: ил.</w:t>
      </w:r>
    </w:p>
    <w:p w:rsidR="00BA4F1D" w:rsidRDefault="005F27B3"/>
    <w:sectPr w:rsidR="00BA4F1D" w:rsidSect="005F27B3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8814E79"/>
    <w:multiLevelType w:val="multilevel"/>
    <w:tmpl w:val="70CE00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3AD5"/>
    <w:rsid w:val="00073AD5"/>
    <w:rsid w:val="000A5706"/>
    <w:rsid w:val="001A2BF4"/>
    <w:rsid w:val="001B6017"/>
    <w:rsid w:val="00210672"/>
    <w:rsid w:val="002A3873"/>
    <w:rsid w:val="002C4D37"/>
    <w:rsid w:val="002E1C12"/>
    <w:rsid w:val="00354639"/>
    <w:rsid w:val="003D7597"/>
    <w:rsid w:val="00404D9F"/>
    <w:rsid w:val="005F27B3"/>
    <w:rsid w:val="00625B7B"/>
    <w:rsid w:val="006F0343"/>
    <w:rsid w:val="00D243BC"/>
    <w:rsid w:val="00D65BE0"/>
    <w:rsid w:val="00EE6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5CD177D-DB45-4969-AFDB-205E24C22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73AD5"/>
    <w:rPr>
      <w:b/>
      <w:bCs/>
    </w:rPr>
  </w:style>
  <w:style w:type="character" w:styleId="a4">
    <w:name w:val="Emphasis"/>
    <w:basedOn w:val="a0"/>
    <w:uiPriority w:val="20"/>
    <w:qFormat/>
    <w:rsid w:val="00073AD5"/>
    <w:rPr>
      <w:i/>
      <w:iCs/>
    </w:rPr>
  </w:style>
  <w:style w:type="character" w:styleId="a5">
    <w:name w:val="Hyperlink"/>
    <w:basedOn w:val="a0"/>
    <w:uiPriority w:val="99"/>
    <w:unhideWhenUsed/>
    <w:rsid w:val="000A5706"/>
    <w:rPr>
      <w:color w:val="0563C1" w:themeColor="hyperlink"/>
      <w:u w:val="single"/>
    </w:rPr>
  </w:style>
  <w:style w:type="paragraph" w:customStyle="1" w:styleId="Default">
    <w:name w:val="Default"/>
    <w:rsid w:val="000A570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caption"/>
    <w:basedOn w:val="a"/>
    <w:next w:val="a"/>
    <w:uiPriority w:val="35"/>
    <w:unhideWhenUsed/>
    <w:qFormat/>
    <w:rsid w:val="00D65BE0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50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051198">
          <w:marLeft w:val="806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87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ocs.cntd.ru/document/1200113012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638</Words>
  <Characters>3638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Сметанина</dc:creator>
  <cp:keywords/>
  <dc:description/>
  <cp:lastModifiedBy>Полина Сметанина</cp:lastModifiedBy>
  <cp:revision>6</cp:revision>
  <dcterms:created xsi:type="dcterms:W3CDTF">2020-11-22T11:34:00Z</dcterms:created>
  <dcterms:modified xsi:type="dcterms:W3CDTF">2020-11-22T11:52:00Z</dcterms:modified>
</cp:coreProperties>
</file>