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27" w:rsidRPr="00C10927" w:rsidRDefault="00C10927" w:rsidP="00C1092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>В Российской Федерации, являющейся одним из крупных полиэтнических государств мира, двуязычие - одно из важнейших условий формирования гражданской, этнокультурной и региональной идентичности. Во многих регионах страны двуязычие становится устойчивым социальным явлением, где родной язык, наряду с русским языком функционирует в качестве второго государственного языка. В условиях поликультурной среды двуязычие и многоязычие также признаны средством социализации детей и молодежи.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27">
        <w:rPr>
          <w:rFonts w:ascii="Times New Roman" w:hAnsi="Times New Roman" w:cs="Times New Roman"/>
          <w:sz w:val="24"/>
          <w:szCs w:val="24"/>
        </w:rPr>
        <w:t xml:space="preserve">В последние годы во всем мире наблюдается тенденция раннего обучения языкам. По данным исследований педагогов (Ю.В. Андросовой, Ю.И. Трофимовой, Л.И. </w:t>
      </w:r>
      <w:proofErr w:type="spellStart"/>
      <w:r w:rsidRPr="00C10927">
        <w:rPr>
          <w:rFonts w:ascii="Times New Roman" w:hAnsi="Times New Roman" w:cs="Times New Roman"/>
          <w:sz w:val="24"/>
          <w:szCs w:val="24"/>
        </w:rPr>
        <w:t>Аммосовой</w:t>
      </w:r>
      <w:proofErr w:type="spellEnd"/>
      <w:r w:rsidRPr="00C10927">
        <w:rPr>
          <w:rFonts w:ascii="Times New Roman" w:hAnsi="Times New Roman" w:cs="Times New Roman"/>
          <w:sz w:val="24"/>
          <w:szCs w:val="24"/>
        </w:rPr>
        <w:t xml:space="preserve">, В.А. Гончаровой, М.С. </w:t>
      </w:r>
      <w:proofErr w:type="spellStart"/>
      <w:r w:rsidRPr="00C10927">
        <w:rPr>
          <w:rFonts w:ascii="Times New Roman" w:hAnsi="Times New Roman" w:cs="Times New Roman"/>
          <w:sz w:val="24"/>
          <w:szCs w:val="24"/>
        </w:rPr>
        <w:t>Исмаиловой</w:t>
      </w:r>
      <w:proofErr w:type="spellEnd"/>
      <w:r w:rsidRPr="00C10927">
        <w:rPr>
          <w:rFonts w:ascii="Times New Roman" w:hAnsi="Times New Roman" w:cs="Times New Roman"/>
          <w:sz w:val="24"/>
          <w:szCs w:val="24"/>
        </w:rPr>
        <w:t xml:space="preserve"> и др.) в Республике Саха растет количество детей - </w:t>
      </w:r>
      <w:proofErr w:type="spellStart"/>
      <w:r w:rsidRPr="00C10927">
        <w:rPr>
          <w:rFonts w:ascii="Times New Roman" w:hAnsi="Times New Roman" w:cs="Times New Roman"/>
          <w:sz w:val="24"/>
          <w:szCs w:val="24"/>
        </w:rPr>
        <w:t>билингвов</w:t>
      </w:r>
      <w:proofErr w:type="spellEnd"/>
      <w:r w:rsidRPr="00C10927">
        <w:rPr>
          <w:rFonts w:ascii="Times New Roman" w:hAnsi="Times New Roman" w:cs="Times New Roman"/>
          <w:sz w:val="24"/>
          <w:szCs w:val="24"/>
        </w:rPr>
        <w:t xml:space="preserve"> дошкольного возраста, в </w:t>
      </w:r>
      <w:r>
        <w:rPr>
          <w:rFonts w:ascii="Times New Roman" w:hAnsi="Times New Roman" w:cs="Times New Roman"/>
          <w:sz w:val="24"/>
          <w:szCs w:val="24"/>
        </w:rPr>
        <w:t xml:space="preserve">связи с тем и растет количество детей </w:t>
      </w:r>
      <w:r w:rsidRPr="00C10927">
        <w:rPr>
          <w:rFonts w:ascii="Times New Roman" w:hAnsi="Times New Roman" w:cs="Times New Roman"/>
          <w:sz w:val="24"/>
          <w:szCs w:val="24"/>
        </w:rPr>
        <w:t xml:space="preserve">постепенно отходящих от </w:t>
      </w:r>
      <w:r>
        <w:rPr>
          <w:rFonts w:ascii="Times New Roman" w:hAnsi="Times New Roman" w:cs="Times New Roman"/>
          <w:sz w:val="24"/>
          <w:szCs w:val="24"/>
        </w:rPr>
        <w:t>своего родного</w:t>
      </w:r>
      <w:r w:rsidRPr="00C10927">
        <w:rPr>
          <w:rFonts w:ascii="Times New Roman" w:hAnsi="Times New Roman" w:cs="Times New Roman"/>
          <w:sz w:val="24"/>
          <w:szCs w:val="24"/>
        </w:rPr>
        <w:t xml:space="preserve"> языка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>
        <w:rPr>
          <w:rFonts w:ascii="Times New Roman" w:hAnsi="Times New Roman" w:cs="Times New Roman"/>
          <w:sz w:val="24"/>
          <w:szCs w:val="24"/>
        </w:rPr>
        <w:t>2,c.</w:t>
      </w:r>
      <w:proofErr w:type="gramEnd"/>
      <w:r w:rsidRPr="00C10927">
        <w:rPr>
          <w:rFonts w:ascii="Times New Roman" w:hAnsi="Times New Roman" w:cs="Times New Roman"/>
          <w:sz w:val="24"/>
          <w:szCs w:val="24"/>
        </w:rPr>
        <w:t>280]</w:t>
      </w:r>
      <w:r w:rsidRPr="00C10927">
        <w:rPr>
          <w:rFonts w:ascii="Times New Roman" w:hAnsi="Times New Roman" w:cs="Times New Roman"/>
          <w:sz w:val="24"/>
          <w:szCs w:val="24"/>
        </w:rPr>
        <w:t>.</w:t>
      </w:r>
    </w:p>
    <w:p w:rsidR="00C10927" w:rsidRPr="00C10927" w:rsidRDefault="00C10927" w:rsidP="00C1092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>С целью вы</w:t>
      </w:r>
      <w:r>
        <w:rPr>
          <w:rFonts w:ascii="Times New Roman" w:hAnsi="Times New Roman" w:cs="Times New Roman"/>
          <w:sz w:val="24"/>
          <w:szCs w:val="24"/>
        </w:rPr>
        <w:t xml:space="preserve">явления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10927">
        <w:rPr>
          <w:rFonts w:ascii="Times New Roman" w:hAnsi="Times New Roman" w:cs="Times New Roman"/>
          <w:sz w:val="24"/>
          <w:szCs w:val="24"/>
        </w:rPr>
        <w:t xml:space="preserve"> разговорного якутского языка проведено исследование у русскоязычных детей старшего дошкольного возраста в МБДОУ Детский сад №21 «</w:t>
      </w:r>
      <w:proofErr w:type="spellStart"/>
      <w:r w:rsidRPr="00C10927">
        <w:rPr>
          <w:rFonts w:ascii="Times New Roman" w:hAnsi="Times New Roman" w:cs="Times New Roman"/>
          <w:sz w:val="24"/>
          <w:szCs w:val="24"/>
        </w:rPr>
        <w:t>Кэнчээри</w:t>
      </w:r>
      <w:proofErr w:type="spellEnd"/>
      <w:r w:rsidRPr="00C10927">
        <w:rPr>
          <w:rFonts w:ascii="Times New Roman" w:hAnsi="Times New Roman" w:cs="Times New Roman"/>
          <w:sz w:val="24"/>
          <w:szCs w:val="24"/>
        </w:rPr>
        <w:t xml:space="preserve">» г. Якутск. </w:t>
      </w:r>
    </w:p>
    <w:p w:rsidR="00C10927" w:rsidRPr="00C10927" w:rsidRDefault="00C10927" w:rsidP="00C1092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 xml:space="preserve">В целом, по итогам диагностики, исходный уровень владения разговорным якутским языком у русскоязычных воспитанников старшей группы находится на среднем уровне - 12 детей (60%) –ребенок знает, понимает и употребляет в речи наиболее частотные знакомые слова, фразы, этикетные формы, понимает медленное и простое по составу и конструкции </w:t>
      </w:r>
      <w:r>
        <w:rPr>
          <w:rFonts w:ascii="Times New Roman" w:hAnsi="Times New Roman" w:cs="Times New Roman"/>
          <w:sz w:val="24"/>
          <w:szCs w:val="24"/>
        </w:rPr>
        <w:t>предложения обращение взрослого. Н</w:t>
      </w:r>
      <w:r w:rsidRPr="00C10927">
        <w:rPr>
          <w:rFonts w:ascii="Times New Roman" w:hAnsi="Times New Roman" w:cs="Times New Roman"/>
          <w:sz w:val="24"/>
          <w:szCs w:val="24"/>
        </w:rPr>
        <w:t>изкий уровень владения якутским разговорным языком наблюдается всего у восьмерых детей (40%)- ребенок минимально владеет якутским языком как средством общения. Активный словарный запас незначителен и не может быть использован для создания связного высказывания в процессе общения с носителем языка.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27">
        <w:rPr>
          <w:rFonts w:ascii="Times New Roman" w:hAnsi="Times New Roman" w:cs="Times New Roman"/>
          <w:sz w:val="24"/>
          <w:szCs w:val="24"/>
        </w:rPr>
        <w:t xml:space="preserve">     В настоящее время в условиях двуязычия многих родителей и педагогов волнует, в первую очередь, вопрос правильного выбора форм и методик обучения родного языка. На наш взгляд, использование информационно-коммуникационных технологий при обучении разговорному якутскому языку русскоязычных детей старшего дошкольного возраста в игровой форме позволило бы сделать процесс обучения удовольствием для дошкольника</w:t>
      </w:r>
      <w:r w:rsidRPr="00C10927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C10927"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109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0927">
        <w:rPr>
          <w:rFonts w:ascii="Times New Roman" w:hAnsi="Times New Roman" w:cs="Times New Roman"/>
          <w:sz w:val="24"/>
          <w:szCs w:val="24"/>
        </w:rPr>
        <w:t>72]</w:t>
      </w:r>
      <w:r w:rsidRPr="00C109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 xml:space="preserve">      Исходя из результато</w:t>
      </w:r>
      <w:r>
        <w:rPr>
          <w:rFonts w:ascii="Times New Roman" w:hAnsi="Times New Roman" w:cs="Times New Roman"/>
          <w:sz w:val="24"/>
          <w:szCs w:val="24"/>
        </w:rPr>
        <w:t>в исследования нами разработаны</w:t>
      </w:r>
      <w:r w:rsidRPr="00C10927">
        <w:rPr>
          <w:rFonts w:ascii="Times New Roman" w:hAnsi="Times New Roman" w:cs="Times New Roman"/>
          <w:sz w:val="24"/>
          <w:szCs w:val="24"/>
        </w:rPr>
        <w:t xml:space="preserve"> модули по обучению якутскому языку русскоязычных детей в процессе использовании обучающих компьютерных игр с раннего возраста. Так как в детстве нейронные связи формируются быстрее, обучение второму языку происходит эффективнее именно в этом возрасте.  Иссле</w:t>
      </w:r>
      <w:r>
        <w:rPr>
          <w:rFonts w:ascii="Times New Roman" w:hAnsi="Times New Roman" w:cs="Times New Roman"/>
          <w:sz w:val="24"/>
          <w:szCs w:val="24"/>
        </w:rPr>
        <w:t xml:space="preserve">дователи выделяют младенческий </w:t>
      </w:r>
      <w:r w:rsidRPr="00C10927">
        <w:rPr>
          <w:rFonts w:ascii="Times New Roman" w:hAnsi="Times New Roman" w:cs="Times New Roman"/>
          <w:sz w:val="24"/>
          <w:szCs w:val="24"/>
        </w:rPr>
        <w:t>билингвизм и говорят, что лучше всего учить второй язык до 5-</w:t>
      </w:r>
      <w:r>
        <w:rPr>
          <w:rFonts w:ascii="Times New Roman" w:hAnsi="Times New Roman" w:cs="Times New Roman"/>
          <w:sz w:val="24"/>
          <w:szCs w:val="24"/>
        </w:rPr>
        <w:t>7 лет, когда ребенок уже знаком</w:t>
      </w:r>
      <w:r w:rsidRPr="00C10927">
        <w:rPr>
          <w:rFonts w:ascii="Times New Roman" w:hAnsi="Times New Roman" w:cs="Times New Roman"/>
          <w:sz w:val="24"/>
          <w:szCs w:val="24"/>
        </w:rPr>
        <w:t xml:space="preserve"> с основами языка, развит язык (физиологически) и мелкая моторика, память и внимание. В 5-7 лет, билингвы скорее всего будут говори</w:t>
      </w:r>
      <w:r>
        <w:rPr>
          <w:rFonts w:ascii="Times New Roman" w:hAnsi="Times New Roman" w:cs="Times New Roman"/>
          <w:sz w:val="24"/>
          <w:szCs w:val="24"/>
        </w:rPr>
        <w:t>ть на обеих языках без акцента,</w:t>
      </w:r>
      <w:r w:rsidRPr="00C10927">
        <w:rPr>
          <w:rFonts w:ascii="Times New Roman" w:hAnsi="Times New Roman" w:cs="Times New Roman"/>
          <w:sz w:val="24"/>
          <w:szCs w:val="24"/>
        </w:rPr>
        <w:t xml:space="preserve"> выше шансы выучить оба языка одинаково х</w:t>
      </w:r>
      <w:r>
        <w:rPr>
          <w:rFonts w:ascii="Times New Roman" w:hAnsi="Times New Roman" w:cs="Times New Roman"/>
          <w:sz w:val="24"/>
          <w:szCs w:val="24"/>
        </w:rPr>
        <w:t xml:space="preserve">орошо и говорить на них бегло. 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10927">
        <w:rPr>
          <w:rFonts w:ascii="Times New Roman" w:hAnsi="Times New Roman" w:cs="Times New Roman"/>
          <w:sz w:val="24"/>
          <w:szCs w:val="24"/>
        </w:rPr>
        <w:t xml:space="preserve">Важным итогом обучения дошкольников должно стать овладение основными формами устной речи. Исследования Т.Н. </w:t>
      </w:r>
      <w:proofErr w:type="spellStart"/>
      <w:r w:rsidRPr="00C10927">
        <w:rPr>
          <w:rFonts w:ascii="Times New Roman" w:hAnsi="Times New Roman" w:cs="Times New Roman"/>
          <w:sz w:val="24"/>
          <w:szCs w:val="24"/>
        </w:rPr>
        <w:t>Дороновой</w:t>
      </w:r>
      <w:proofErr w:type="spellEnd"/>
      <w:r w:rsidRPr="00C10927">
        <w:rPr>
          <w:rFonts w:ascii="Times New Roman" w:hAnsi="Times New Roman" w:cs="Times New Roman"/>
          <w:sz w:val="24"/>
          <w:szCs w:val="24"/>
        </w:rPr>
        <w:t xml:space="preserve">, Е.А. Тихеевой и др. показывают, что умение связно говорить, осознавать речь и ее строение, возможно в процессе серьезной работы, создавая при этом определенные условия обучения. Модульное обучение построено в соответствии с возрастными и психологическими особенностями развития детей дошкольного возраста, с опорой на следующие принципы: 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 xml:space="preserve">- научности (учет современных достижений науки и практики); 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 xml:space="preserve">- целостности и последовательности (гармоничное взаимодействие всех участников); 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>-целенаправленности (цель и результат являются регуляторами направлений обучения, творческого роста педагогов).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C10927">
        <w:rPr>
          <w:rFonts w:ascii="Times New Roman" w:hAnsi="Times New Roman" w:cs="Times New Roman"/>
          <w:sz w:val="24"/>
          <w:szCs w:val="24"/>
        </w:rPr>
        <w:t xml:space="preserve">Начиная работу по данной теме, мы стремились к тому, чтобы </w:t>
      </w:r>
      <w:proofErr w:type="gramStart"/>
      <w:r w:rsidRPr="00C10927">
        <w:rPr>
          <w:rFonts w:ascii="Times New Roman" w:hAnsi="Times New Roman" w:cs="Times New Roman"/>
          <w:sz w:val="24"/>
          <w:szCs w:val="24"/>
        </w:rPr>
        <w:t>разработанные  модули</w:t>
      </w:r>
      <w:proofErr w:type="gramEnd"/>
      <w:r w:rsidRPr="00C10927">
        <w:rPr>
          <w:rFonts w:ascii="Times New Roman" w:hAnsi="Times New Roman" w:cs="Times New Roman"/>
          <w:sz w:val="24"/>
          <w:szCs w:val="24"/>
        </w:rPr>
        <w:t xml:space="preserve"> обучающих компьютерных игр помогали развивать </w:t>
      </w:r>
      <w:proofErr w:type="spellStart"/>
      <w:r w:rsidRPr="00C10927">
        <w:rPr>
          <w:rFonts w:ascii="Times New Roman" w:hAnsi="Times New Roman" w:cs="Times New Roman"/>
          <w:sz w:val="24"/>
          <w:szCs w:val="24"/>
        </w:rPr>
        <w:t>медиасоставляющие</w:t>
      </w:r>
      <w:proofErr w:type="spellEnd"/>
      <w:r w:rsidRPr="00C10927">
        <w:rPr>
          <w:rFonts w:ascii="Times New Roman" w:hAnsi="Times New Roman" w:cs="Times New Roman"/>
          <w:sz w:val="24"/>
          <w:szCs w:val="24"/>
        </w:rPr>
        <w:t xml:space="preserve"> коммуникативные компетенции детей на осваиваемом языке в этнокультурном контексте.  Кроме обучения родному языку эти компьютерные игры ориентированы на приобщение детей к историко- культурным ценностям своего народа.</w:t>
      </w:r>
      <w:r>
        <w:rPr>
          <w:rFonts w:ascii="Times New Roman" w:hAnsi="Times New Roman" w:cs="Times New Roman"/>
          <w:sz w:val="24"/>
          <w:szCs w:val="24"/>
        </w:rPr>
        <w:t xml:space="preserve"> Нами разработаны и реализованы</w:t>
      </w:r>
      <w:r w:rsidRPr="00C10927">
        <w:rPr>
          <w:rFonts w:ascii="Times New Roman" w:hAnsi="Times New Roman" w:cs="Times New Roman"/>
          <w:sz w:val="24"/>
          <w:szCs w:val="24"/>
        </w:rPr>
        <w:t xml:space="preserve"> четыре модуля компьютерных игр: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>1.</w:t>
      </w:r>
      <w:r w:rsidRPr="00C10927">
        <w:rPr>
          <w:rFonts w:ascii="Times New Roman" w:hAnsi="Times New Roman" w:cs="Times New Roman"/>
          <w:sz w:val="24"/>
          <w:szCs w:val="24"/>
        </w:rPr>
        <w:tab/>
        <w:t xml:space="preserve">Ориентировка в языковой среде: игра «слово- действие», «слово     - признак», формирование коммуникативно-речевой компетенции, соответствующей базовому уровню владения якутским языком. 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>2.</w:t>
      </w:r>
      <w:r w:rsidRPr="00C10927">
        <w:rPr>
          <w:rFonts w:ascii="Times New Roman" w:hAnsi="Times New Roman" w:cs="Times New Roman"/>
          <w:sz w:val="24"/>
          <w:szCs w:val="24"/>
        </w:rPr>
        <w:tab/>
        <w:t>Усвоение речевых моделей: «Назови детенышей», «Лисенок считает», направлена на понимание речи в простых, четко произносимых монологических сообщениях.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>3.</w:t>
      </w:r>
      <w:r w:rsidRPr="00C10927">
        <w:rPr>
          <w:rFonts w:ascii="Times New Roman" w:hAnsi="Times New Roman" w:cs="Times New Roman"/>
          <w:sz w:val="24"/>
          <w:szCs w:val="24"/>
        </w:rPr>
        <w:tab/>
        <w:t>Расширение сферы использования языка: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27">
        <w:rPr>
          <w:rFonts w:ascii="Times New Roman" w:hAnsi="Times New Roman" w:cs="Times New Roman"/>
          <w:sz w:val="24"/>
          <w:szCs w:val="24"/>
        </w:rPr>
        <w:t>«Послушай рассказ» направлено на развитие умения выражать свои мысли простыми предложениями, комментировать свои действия в различных видах деятельности.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>4.</w:t>
      </w:r>
      <w:r w:rsidRPr="00C10927">
        <w:rPr>
          <w:rFonts w:ascii="Times New Roman" w:hAnsi="Times New Roman" w:cs="Times New Roman"/>
          <w:sz w:val="24"/>
          <w:szCs w:val="24"/>
        </w:rPr>
        <w:tab/>
        <w:t>Самостоятельное употребление языка: «Составляем описание»,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27">
        <w:rPr>
          <w:rFonts w:ascii="Times New Roman" w:hAnsi="Times New Roman" w:cs="Times New Roman"/>
          <w:sz w:val="24"/>
          <w:szCs w:val="24"/>
        </w:rPr>
        <w:t>помогает устанавливать связи с окружающими людьми, умение обсуждать, пересказывать и комментировать содержание рассказов.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 xml:space="preserve">     Большинство обучающих компьютерных игр, заданий имеют несколько уровней сложности, что даёт возможность ребёнку научиться оценивать свои силы, возможность ребёнку почувствовать уверенность в себе и это ставит его в ситуацию успеха.</w:t>
      </w:r>
      <w:r w:rsidRPr="00C10927">
        <w:rPr>
          <w:rFonts w:ascii="Times New Roman" w:hAnsi="Times New Roman" w:cs="Times New Roman"/>
          <w:sz w:val="24"/>
          <w:szCs w:val="24"/>
        </w:rPr>
        <w:tab/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 xml:space="preserve">       При обучении второму языку важно не только как говорите, но и что говорите. Язык – это поним</w:t>
      </w:r>
      <w:r>
        <w:rPr>
          <w:rFonts w:ascii="Times New Roman" w:hAnsi="Times New Roman" w:cs="Times New Roman"/>
          <w:sz w:val="24"/>
          <w:szCs w:val="24"/>
        </w:rPr>
        <w:t>ание, разговор, письмо и чтение</w:t>
      </w:r>
      <w:r w:rsidRPr="00C10927">
        <w:rPr>
          <w:rFonts w:ascii="Times New Roman" w:hAnsi="Times New Roman" w:cs="Times New Roman"/>
          <w:sz w:val="24"/>
          <w:szCs w:val="24"/>
        </w:rPr>
        <w:t xml:space="preserve"> и говорить с ребенком нужно много, давая ему возможность отвечать (также, как и при обучении родному языку). А от </w:t>
      </w:r>
      <w:r>
        <w:rPr>
          <w:rFonts w:ascii="Times New Roman" w:hAnsi="Times New Roman" w:cs="Times New Roman"/>
          <w:sz w:val="24"/>
          <w:szCs w:val="24"/>
        </w:rPr>
        <w:t>родителей и педагогов требуется</w:t>
      </w:r>
      <w:r w:rsidRPr="00C10927">
        <w:rPr>
          <w:rFonts w:ascii="Times New Roman" w:hAnsi="Times New Roman" w:cs="Times New Roman"/>
          <w:sz w:val="24"/>
          <w:szCs w:val="24"/>
        </w:rPr>
        <w:t xml:space="preserve"> выбрать модели обучения, быть последовательным и обеспечить среду и живое общение</w:t>
      </w:r>
      <w:r>
        <w:rPr>
          <w:rFonts w:ascii="Times New Roman" w:hAnsi="Times New Roman" w:cs="Times New Roman"/>
          <w:sz w:val="24"/>
          <w:szCs w:val="24"/>
        </w:rPr>
        <w:t xml:space="preserve"> [1]</w:t>
      </w:r>
      <w:r w:rsidRPr="00C10927">
        <w:rPr>
          <w:rFonts w:ascii="Times New Roman" w:hAnsi="Times New Roman" w:cs="Times New Roman"/>
          <w:sz w:val="24"/>
          <w:szCs w:val="24"/>
        </w:rPr>
        <w:t>.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 xml:space="preserve">     Таким образом, п</w:t>
      </w:r>
      <w:r>
        <w:rPr>
          <w:rFonts w:ascii="Times New Roman" w:hAnsi="Times New Roman" w:cs="Times New Roman"/>
          <w:sz w:val="24"/>
          <w:szCs w:val="24"/>
        </w:rPr>
        <w:t xml:space="preserve">роведенный сравнительный анализ уровня овладения </w:t>
      </w:r>
      <w:r w:rsidRPr="00C10927">
        <w:rPr>
          <w:rFonts w:ascii="Times New Roman" w:hAnsi="Times New Roman" w:cs="Times New Roman"/>
          <w:sz w:val="24"/>
          <w:szCs w:val="24"/>
        </w:rPr>
        <w:t xml:space="preserve">якутским </w:t>
      </w:r>
      <w:proofErr w:type="gramStart"/>
      <w:r w:rsidRPr="00C10927">
        <w:rPr>
          <w:rFonts w:ascii="Times New Roman" w:hAnsi="Times New Roman" w:cs="Times New Roman"/>
          <w:sz w:val="24"/>
          <w:szCs w:val="24"/>
        </w:rPr>
        <w:t>языком  у</w:t>
      </w:r>
      <w:proofErr w:type="gramEnd"/>
      <w:r w:rsidRPr="00C10927">
        <w:rPr>
          <w:rFonts w:ascii="Times New Roman" w:hAnsi="Times New Roman" w:cs="Times New Roman"/>
          <w:sz w:val="24"/>
          <w:szCs w:val="24"/>
        </w:rPr>
        <w:t xml:space="preserve">  детей  экспериментальной группы до и после проведения  формирующего  эксперимента  показал, что  в  экспериментальной  группе  наблюдается выраженная  положительная  динамика  в  изменении уровня овладения якутским языком по сравнению до проведения эксперимента. Так на выс</w:t>
      </w:r>
      <w:r>
        <w:rPr>
          <w:rFonts w:ascii="Times New Roman" w:hAnsi="Times New Roman" w:cs="Times New Roman"/>
          <w:sz w:val="24"/>
          <w:szCs w:val="24"/>
        </w:rPr>
        <w:t>оком уровне в экспериментальной</w:t>
      </w:r>
      <w:r w:rsidRPr="00C109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927">
        <w:rPr>
          <w:rFonts w:ascii="Times New Roman" w:hAnsi="Times New Roman" w:cs="Times New Roman"/>
          <w:sz w:val="24"/>
          <w:szCs w:val="24"/>
        </w:rPr>
        <w:t>группе  находится</w:t>
      </w:r>
      <w:proofErr w:type="gramEnd"/>
      <w:r w:rsidRPr="00C10927">
        <w:rPr>
          <w:rFonts w:ascii="Times New Roman" w:hAnsi="Times New Roman" w:cs="Times New Roman"/>
          <w:sz w:val="24"/>
          <w:szCs w:val="24"/>
        </w:rPr>
        <w:t xml:space="preserve">  30%(6) детей, на  хорошем уровне – 55%(11), на уровне ниже среднего15% (3) детей.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27">
        <w:rPr>
          <w:rFonts w:ascii="Times New Roman" w:hAnsi="Times New Roman" w:cs="Times New Roman"/>
          <w:sz w:val="24"/>
          <w:szCs w:val="24"/>
        </w:rPr>
        <w:tab/>
        <w:t xml:space="preserve">Полученные данные позволяют </w:t>
      </w:r>
      <w:r>
        <w:rPr>
          <w:rFonts w:ascii="Times New Roman" w:hAnsi="Times New Roman" w:cs="Times New Roman"/>
          <w:sz w:val="24"/>
          <w:szCs w:val="24"/>
        </w:rPr>
        <w:t>сделать вывод о том, что работа</w:t>
      </w:r>
      <w:r w:rsidRPr="00C10927">
        <w:rPr>
          <w:rFonts w:ascii="Times New Roman" w:hAnsi="Times New Roman" w:cs="Times New Roman"/>
          <w:sz w:val="24"/>
          <w:szCs w:val="24"/>
        </w:rPr>
        <w:t xml:space="preserve"> по овладению якутским языком </w:t>
      </w:r>
      <w:proofErr w:type="gramStart"/>
      <w:r w:rsidRPr="00C10927">
        <w:rPr>
          <w:rFonts w:ascii="Times New Roman" w:hAnsi="Times New Roman" w:cs="Times New Roman"/>
          <w:sz w:val="24"/>
          <w:szCs w:val="24"/>
        </w:rPr>
        <w:t>детей  5</w:t>
      </w:r>
      <w:proofErr w:type="gramEnd"/>
      <w:r w:rsidRPr="00C10927">
        <w:rPr>
          <w:rFonts w:ascii="Times New Roman" w:hAnsi="Times New Roman" w:cs="Times New Roman"/>
          <w:sz w:val="24"/>
          <w:szCs w:val="24"/>
        </w:rPr>
        <w:t>-6  лет  с  использованием обучающих компьютерных  игр  оказалась  эффективной  и результативной: у детей появились    фразы-формулы, дети свободно начинают говорить на втором языке. Двуязычный ребенок постоянно переключается между языками. Благодаря этому билингвы лучше осознают связь между буквами и звуками, способны лучше фокусироваться, выполнять несколько задач одновременно. Дети - билингва более восприимчивы к другим людям, к другим культурам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</w:rPr>
      </w:pPr>
      <w:r w:rsidRPr="00C10927">
        <w:rPr>
          <w:rFonts w:ascii="Times New Roman" w:hAnsi="Times New Roman" w:cs="Times New Roman"/>
        </w:rPr>
        <w:t>Список использованной литературы: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</w:rPr>
      </w:pPr>
      <w:r w:rsidRPr="00C10927">
        <w:rPr>
          <w:rFonts w:ascii="Times New Roman" w:hAnsi="Times New Roman" w:cs="Times New Roman"/>
        </w:rPr>
        <w:t>1</w:t>
      </w:r>
      <w:r w:rsidRPr="00C10927">
        <w:rPr>
          <w:rFonts w:ascii="Times New Roman" w:hAnsi="Times New Roman" w:cs="Times New Roman"/>
        </w:rPr>
        <w:t>.</w:t>
      </w:r>
      <w:r w:rsidRPr="00C10927">
        <w:rPr>
          <w:rFonts w:ascii="Times New Roman" w:hAnsi="Times New Roman" w:cs="Times New Roman"/>
        </w:rPr>
        <w:tab/>
        <w:t xml:space="preserve">Кудрявцева, Е.Л. В лабиринтах многоязычия или образования успешного ребенка/ Е.Л. Кудрявцева, М.Ю. Чибисова, </w:t>
      </w:r>
      <w:proofErr w:type="spellStart"/>
      <w:r w:rsidRPr="00C10927">
        <w:rPr>
          <w:rFonts w:ascii="Times New Roman" w:hAnsi="Times New Roman" w:cs="Times New Roman"/>
        </w:rPr>
        <w:t>А.А.Мартинкова</w:t>
      </w:r>
      <w:proofErr w:type="spellEnd"/>
      <w:r w:rsidRPr="00C10927">
        <w:rPr>
          <w:rFonts w:ascii="Times New Roman" w:hAnsi="Times New Roman" w:cs="Times New Roman"/>
        </w:rPr>
        <w:t xml:space="preserve">, Р.А. </w:t>
      </w:r>
      <w:proofErr w:type="spellStart"/>
      <w:r w:rsidRPr="00C10927">
        <w:rPr>
          <w:rFonts w:ascii="Times New Roman" w:hAnsi="Times New Roman" w:cs="Times New Roman"/>
        </w:rPr>
        <w:t>Кулькова</w:t>
      </w:r>
      <w:proofErr w:type="spellEnd"/>
      <w:r w:rsidRPr="00C10927">
        <w:rPr>
          <w:rFonts w:ascii="Times New Roman" w:hAnsi="Times New Roman" w:cs="Times New Roman"/>
        </w:rPr>
        <w:t>. М: ЛИНКА-ПРЕСС, 2018</w:t>
      </w:r>
    </w:p>
    <w:p w:rsidR="00C10927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</w:rPr>
      </w:pPr>
      <w:r w:rsidRPr="00C10927">
        <w:rPr>
          <w:rFonts w:ascii="Times New Roman" w:hAnsi="Times New Roman" w:cs="Times New Roman"/>
        </w:rPr>
        <w:t>2</w:t>
      </w:r>
      <w:r w:rsidRPr="00C10927">
        <w:rPr>
          <w:rFonts w:ascii="Times New Roman" w:hAnsi="Times New Roman" w:cs="Times New Roman"/>
        </w:rPr>
        <w:t>.</w:t>
      </w:r>
      <w:r w:rsidRPr="00C10927">
        <w:rPr>
          <w:rFonts w:ascii="Times New Roman" w:hAnsi="Times New Roman" w:cs="Times New Roman"/>
        </w:rPr>
        <w:tab/>
        <w:t xml:space="preserve">Проблемы родного языка в условиях глобализации и интеграции современного общества: </w:t>
      </w:r>
      <w:proofErr w:type="spellStart"/>
      <w:r w:rsidRPr="00C10927">
        <w:rPr>
          <w:rFonts w:ascii="Times New Roman" w:hAnsi="Times New Roman" w:cs="Times New Roman"/>
        </w:rPr>
        <w:t>Сб.науч.ст</w:t>
      </w:r>
      <w:proofErr w:type="spellEnd"/>
      <w:r w:rsidRPr="00C10927">
        <w:rPr>
          <w:rFonts w:ascii="Times New Roman" w:hAnsi="Times New Roman" w:cs="Times New Roman"/>
        </w:rPr>
        <w:t>/</w:t>
      </w:r>
      <w:proofErr w:type="spellStart"/>
      <w:r w:rsidRPr="00C10927">
        <w:rPr>
          <w:rFonts w:ascii="Times New Roman" w:hAnsi="Times New Roman" w:cs="Times New Roman"/>
        </w:rPr>
        <w:t>Акад.наук</w:t>
      </w:r>
      <w:proofErr w:type="spellEnd"/>
      <w:r w:rsidRPr="00C10927">
        <w:rPr>
          <w:rFonts w:ascii="Times New Roman" w:hAnsi="Times New Roman" w:cs="Times New Roman"/>
        </w:rPr>
        <w:t xml:space="preserve"> по </w:t>
      </w:r>
      <w:proofErr w:type="spellStart"/>
      <w:r w:rsidRPr="00C10927">
        <w:rPr>
          <w:rFonts w:ascii="Times New Roman" w:hAnsi="Times New Roman" w:cs="Times New Roman"/>
        </w:rPr>
        <w:t>Респ</w:t>
      </w:r>
      <w:proofErr w:type="spellEnd"/>
      <w:r w:rsidRPr="00C10927">
        <w:rPr>
          <w:rFonts w:ascii="Times New Roman" w:hAnsi="Times New Roman" w:cs="Times New Roman"/>
        </w:rPr>
        <w:t xml:space="preserve">. Саха(Якутия). Ин-т </w:t>
      </w:r>
      <w:proofErr w:type="spellStart"/>
      <w:proofErr w:type="gramStart"/>
      <w:r w:rsidRPr="00C10927">
        <w:rPr>
          <w:rFonts w:ascii="Times New Roman" w:hAnsi="Times New Roman" w:cs="Times New Roman"/>
        </w:rPr>
        <w:t>гуманит.исслед</w:t>
      </w:r>
      <w:proofErr w:type="spellEnd"/>
      <w:r w:rsidRPr="00C10927">
        <w:rPr>
          <w:rFonts w:ascii="Times New Roman" w:hAnsi="Times New Roman" w:cs="Times New Roman"/>
        </w:rPr>
        <w:t>.,</w:t>
      </w:r>
      <w:proofErr w:type="gramEnd"/>
      <w:r w:rsidRPr="00C10927">
        <w:rPr>
          <w:rFonts w:ascii="Times New Roman" w:hAnsi="Times New Roman" w:cs="Times New Roman"/>
        </w:rPr>
        <w:t xml:space="preserve"> Совет по языковой политике при Президенте РС(Я).-Якутск: ИГИ АН РС (Я), 200</w:t>
      </w:r>
      <w:bookmarkStart w:id="0" w:name="_GoBack"/>
      <w:bookmarkEnd w:id="0"/>
      <w:r w:rsidRPr="00C10927">
        <w:rPr>
          <w:rFonts w:ascii="Times New Roman" w:hAnsi="Times New Roman" w:cs="Times New Roman"/>
        </w:rPr>
        <w:t>7. – 280с.</w:t>
      </w:r>
    </w:p>
    <w:p w:rsidR="006F4998" w:rsidRPr="00C10927" w:rsidRDefault="00C10927" w:rsidP="00C10927">
      <w:pPr>
        <w:spacing w:line="240" w:lineRule="auto"/>
        <w:jc w:val="both"/>
        <w:rPr>
          <w:rFonts w:ascii="Times New Roman" w:hAnsi="Times New Roman" w:cs="Times New Roman"/>
        </w:rPr>
      </w:pPr>
      <w:r w:rsidRPr="00C10927">
        <w:rPr>
          <w:rFonts w:ascii="Times New Roman" w:hAnsi="Times New Roman" w:cs="Times New Roman"/>
        </w:rPr>
        <w:lastRenderedPageBreak/>
        <w:t>3</w:t>
      </w:r>
      <w:r w:rsidRPr="00C10927">
        <w:rPr>
          <w:rFonts w:ascii="Times New Roman" w:hAnsi="Times New Roman" w:cs="Times New Roman"/>
        </w:rPr>
        <w:t>.</w:t>
      </w:r>
      <w:r w:rsidRPr="00C10927">
        <w:rPr>
          <w:rFonts w:ascii="Times New Roman" w:hAnsi="Times New Roman" w:cs="Times New Roman"/>
        </w:rPr>
        <w:tab/>
        <w:t>Протасова. Е. Дошкольный возраст: современные методы обучения второму языку /Е. Протасова // Дошкольное воспитание. -2003. №11. — С.72.</w:t>
      </w:r>
    </w:p>
    <w:sectPr w:rsidR="006F4998" w:rsidRPr="00C10927" w:rsidSect="00C10927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58"/>
    <w:rsid w:val="006A3358"/>
    <w:rsid w:val="006F4998"/>
    <w:rsid w:val="00C1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A70A3-5037-4C05-A61C-4F2A863C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2020-03-01T01:34:00Z</dcterms:created>
  <dcterms:modified xsi:type="dcterms:W3CDTF">2020-03-01T01:56:00Z</dcterms:modified>
</cp:coreProperties>
</file>