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40EEA" w14:textId="77777777" w:rsidR="00A11A45" w:rsidRDefault="00A11A45" w:rsidP="008600A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Допированные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медью оксидные церий-оловянные катализаторы</w:t>
      </w:r>
    </w:p>
    <w:p w14:paraId="40DD0711" w14:textId="77777777" w:rsidR="00A11A45" w:rsidRDefault="00A11A45" w:rsidP="008600A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полного окисления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CO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, синтезированные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темплатным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методом</w:t>
      </w:r>
    </w:p>
    <w:p w14:paraId="7A64F73B" w14:textId="45F4E423" w:rsidR="00A11A45" w:rsidRPr="00AE791A" w:rsidRDefault="00A11A45" w:rsidP="00A11A45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Жиляев</w:t>
      </w:r>
      <w:proofErr w:type="spellEnd"/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К.А.</w:t>
      </w:r>
      <w:r w:rsidR="008600AE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, Каплин И.Ю.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14:paraId="0E6D8D65" w14:textId="77777777" w:rsidR="00A11A45" w:rsidRPr="00C608EB" w:rsidRDefault="00A11A45" w:rsidP="00A11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Студент, 2 курс</w:t>
      </w:r>
      <w:r w:rsidRPr="00C608EB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специалитета</w:t>
      </w:r>
    </w:p>
    <w:p w14:paraId="1BD61204" w14:textId="77777777" w:rsidR="00A11A45" w:rsidRPr="00C608EB" w:rsidRDefault="00A11A45" w:rsidP="00A11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08EB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Московский государственный университет имени </w:t>
      </w:r>
      <w:proofErr w:type="spellStart"/>
      <w:r w:rsidRPr="00C608EB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М.В.Ломоносова</w:t>
      </w:r>
      <w:proofErr w:type="spellEnd"/>
      <w:r w:rsidRPr="00C608EB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, </w:t>
      </w:r>
    </w:p>
    <w:p w14:paraId="7E7DF160" w14:textId="77777777" w:rsidR="00A11A45" w:rsidRPr="00C608EB" w:rsidRDefault="00A11A45" w:rsidP="00A11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химический</w:t>
      </w:r>
      <w:r w:rsidRPr="00C608EB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факультет, Москва, Россия</w:t>
      </w:r>
    </w:p>
    <w:p w14:paraId="40A1EC7B" w14:textId="77777777" w:rsidR="00A11A45" w:rsidRDefault="00A11A45" w:rsidP="00A11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C608EB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E–</w:t>
      </w:r>
      <w:proofErr w:type="spellStart"/>
      <w:r w:rsidRPr="00C608EB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mail</w:t>
      </w:r>
      <w:proofErr w:type="spellEnd"/>
      <w:r w:rsidRPr="00C608EB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i/>
          <w:iCs/>
          <w:sz w:val="24"/>
          <w:szCs w:val="24"/>
          <w:lang w:val="en-US" w:eastAsia="ru-RU"/>
        </w:rPr>
        <w:t>lirokshd</w:t>
      </w:r>
      <w:proofErr w:type="spellEnd"/>
      <w:r w:rsidRPr="00701AB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@</w:t>
      </w:r>
      <w:proofErr w:type="spellStart"/>
      <w:r>
        <w:rPr>
          <w:rFonts w:ascii="Times New Roman" w:eastAsia="Times New Roman" w:hAnsi="Times New Roman"/>
          <w:i/>
          <w:iCs/>
          <w:sz w:val="24"/>
          <w:szCs w:val="24"/>
          <w:lang w:val="en-US" w:eastAsia="ru-RU"/>
        </w:rPr>
        <w:t>gmail</w:t>
      </w:r>
      <w:proofErr w:type="spellEnd"/>
      <w:r w:rsidRPr="00701AB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i/>
          <w:iCs/>
          <w:sz w:val="24"/>
          <w:szCs w:val="24"/>
          <w:lang w:val="en-US" w:eastAsia="ru-RU"/>
        </w:rPr>
        <w:t>com</w:t>
      </w:r>
      <w:r w:rsidRPr="00C608EB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</w:p>
    <w:p w14:paraId="1EFA0739" w14:textId="77777777" w:rsidR="00A11A45" w:rsidRDefault="00A11A45" w:rsidP="00A11A45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8F3D5B1" w14:textId="77777777" w:rsidR="002D3782" w:rsidRDefault="00A11A45" w:rsidP="00A11A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Один из наиболее опасных загрязнителей атмосферы Земли – монооксид углерода, его антропогенными источниками служат</w:t>
      </w:r>
      <w:r w:rsidRPr="00932D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транспортные средства, металлургические и другие производства. Перспективным способом отчистки газовых смесей является каталитическое окисление до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CO</w:t>
      </w:r>
      <w:r w:rsidRPr="00A11A45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причём оксидные системы на основе диоксида церия служат хорошей альтернативой благородным металлам.</w:t>
      </w:r>
      <w:r w:rsidRP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Цель работы состояла в синтезе катализаторов Се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SnO</w:t>
      </w:r>
      <w:r w:rsidRPr="003811B8">
        <w:rPr>
          <w:rFonts w:ascii="Times New Roman" w:eastAsia="Times New Roman" w:hAnsi="Times New Roman"/>
          <w:sz w:val="24"/>
          <w:szCs w:val="24"/>
          <w:vertAlign w:val="subscript"/>
          <w:lang w:val="en-US" w:eastAsia="ru-RU"/>
        </w:rPr>
        <w:t>x</w:t>
      </w:r>
      <w:proofErr w:type="spellEnd"/>
      <w:r w:rsidRPr="003361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методом EISA</w:t>
      </w:r>
      <w:r w:rsidRPr="003361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8491F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Evaporation</w:t>
      </w:r>
      <w:r w:rsidRPr="0018491F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Induced</w:t>
      </w:r>
      <w:r w:rsidRPr="0018491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Self</w:t>
      </w:r>
      <w:r w:rsidRPr="0018491F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Assembly</w:t>
      </w:r>
      <w:r w:rsidRPr="0018491F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[1,2] с использованием полимерного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темплата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Плюроник-123, модификации их медью методами влажной пропитки и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one</w:t>
      </w:r>
      <w:r w:rsidRPr="00A11A4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pot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сравнении каталитических свойств в</w:t>
      </w:r>
      <w:r w:rsidRPr="00841FF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окислении СО.</w:t>
      </w:r>
    </w:p>
    <w:p w14:paraId="3D59EC26" w14:textId="30E0146B" w:rsidR="00A11A45" w:rsidRDefault="008600AE" w:rsidP="00A11A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работе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получены образцы Се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SnO</w:t>
      </w:r>
      <w:r w:rsidR="00A11A45" w:rsidRPr="003811B8">
        <w:rPr>
          <w:rFonts w:ascii="Times New Roman" w:eastAsia="Times New Roman" w:hAnsi="Times New Roman"/>
          <w:sz w:val="24"/>
          <w:szCs w:val="24"/>
          <w:vertAlign w:val="subscript"/>
          <w:lang w:val="en-US" w:eastAsia="ru-RU"/>
        </w:rPr>
        <w:t>x</w:t>
      </w:r>
      <w:proofErr w:type="spellEnd"/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с разным соотношением Се:</w:t>
      </w:r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Sn</w:t>
      </w:r>
      <w:r w:rsidR="00A11A45" w:rsidRPr="00336100">
        <w:rPr>
          <w:rFonts w:ascii="Times New Roman" w:eastAsia="Times New Roman" w:hAnsi="Times New Roman"/>
          <w:sz w:val="24"/>
          <w:szCs w:val="24"/>
          <w:lang w:eastAsia="ru-RU"/>
        </w:rPr>
        <w:t xml:space="preserve"> =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95:5 и 90:10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последнюю систему</w:t>
      </w:r>
      <w:r w:rsidR="009C078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модифицировали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медью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(8 масс.</w:t>
      </w:r>
      <w:r w:rsidRPr="00A11A45">
        <w:rPr>
          <w:rFonts w:ascii="Times New Roman" w:eastAsia="Times New Roman" w:hAnsi="Times New Roman"/>
          <w:sz w:val="24"/>
          <w:szCs w:val="24"/>
          <w:lang w:eastAsia="ru-RU"/>
        </w:rPr>
        <w:t>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методами влажной пропитки (далее</w:t>
      </w:r>
      <w:r w:rsidR="00A11A45" w:rsidRP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CuO</w:t>
      </w:r>
      <w:proofErr w:type="spellEnd"/>
      <w:r w:rsidR="00A11A45" w:rsidRPr="00A11A45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Се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SnO</w:t>
      </w:r>
      <w:r w:rsidR="00A11A45" w:rsidRPr="003811B8">
        <w:rPr>
          <w:rFonts w:ascii="Times New Roman" w:eastAsia="Times New Roman" w:hAnsi="Times New Roman"/>
          <w:sz w:val="24"/>
          <w:szCs w:val="24"/>
          <w:vertAlign w:val="subscript"/>
          <w:lang w:val="en-US" w:eastAsia="ru-RU"/>
        </w:rPr>
        <w:t>x</w:t>
      </w:r>
      <w:proofErr w:type="spellEnd"/>
      <w:r w:rsidR="00A11A45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 xml:space="preserve"> 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Im</w:t>
      </w:r>
      <w:proofErr w:type="spellEnd"/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) и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ходе осаждения двойного оксида (</w:t>
      </w:r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one</w:t>
      </w:r>
      <w:r w:rsidR="00A11A45" w:rsidRPr="00A11A4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pot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далее</w:t>
      </w:r>
      <w:r w:rsidR="00A11A45" w:rsidRP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CuO</w:t>
      </w:r>
      <w:proofErr w:type="spellEnd"/>
      <w:r w:rsidR="00A11A45" w:rsidRPr="00A11A45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Се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SnO</w:t>
      </w:r>
      <w:r w:rsidR="00A11A45" w:rsidRPr="003811B8">
        <w:rPr>
          <w:rFonts w:ascii="Times New Roman" w:eastAsia="Times New Roman" w:hAnsi="Times New Roman"/>
          <w:sz w:val="24"/>
          <w:szCs w:val="24"/>
          <w:vertAlign w:val="subscript"/>
          <w:lang w:val="en-US" w:eastAsia="ru-RU"/>
        </w:rPr>
        <w:t>x</w:t>
      </w:r>
      <w:proofErr w:type="spellEnd"/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). Согласно данным рентгенофазового анализа (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Rigaku</w:t>
      </w:r>
      <w:proofErr w:type="spellEnd"/>
      <w:r w:rsidR="00A11A45" w:rsidRPr="00841FF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Uniflex</w:t>
      </w:r>
      <w:proofErr w:type="spellEnd"/>
      <w:r w:rsidR="00A11A45" w:rsidRPr="00841FF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IV</w:t>
      </w:r>
      <w:r w:rsidR="00A11A45" w:rsidRPr="00841FF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Япония), образцы имеют структуру кубического 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CeO</w:t>
      </w:r>
      <w:proofErr w:type="spellEnd"/>
      <w:r w:rsidR="00A11A45" w:rsidRPr="005940B9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2</w:t>
      </w:r>
      <w:r w:rsidR="00A11A45" w:rsidRPr="00701AB5">
        <w:rPr>
          <w:rFonts w:ascii="Times New Roman" w:eastAsia="Times New Roman" w:hAnsi="Times New Roman"/>
          <w:sz w:val="24"/>
          <w:szCs w:val="24"/>
          <w:lang w:eastAsia="ru-RU"/>
        </w:rPr>
        <w:t xml:space="preserve"> (флюорит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, карта </w:t>
      </w:r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ICDD</w:t>
      </w:r>
      <w:r w:rsidR="00A11A45" w:rsidRPr="005940B9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PDF</w:t>
      </w:r>
      <w:r w:rsidR="00A11A45" w:rsidRPr="005940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75-76)</w:t>
      </w:r>
      <w:r w:rsidR="00A11A45" w:rsidRPr="00701AB5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однако рефлексы несколько сдвинуты к малым углам, </w:t>
      </w:r>
      <w:r w:rsidR="00A11A45" w:rsidRPr="00701AB5">
        <w:rPr>
          <w:rFonts w:ascii="Times New Roman" w:eastAsia="Times New Roman" w:hAnsi="Times New Roman"/>
          <w:sz w:val="24"/>
          <w:szCs w:val="24"/>
          <w:lang w:eastAsia="ru-RU"/>
        </w:rPr>
        <w:t xml:space="preserve">что указывает на встраивание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меньших по размеру </w:t>
      </w:r>
      <w:r w:rsidR="00A11A45" w:rsidRPr="00701AB5">
        <w:rPr>
          <w:rFonts w:ascii="Times New Roman" w:eastAsia="Times New Roman" w:hAnsi="Times New Roman"/>
          <w:sz w:val="24"/>
          <w:szCs w:val="24"/>
          <w:lang w:eastAsia="ru-RU"/>
        </w:rPr>
        <w:t xml:space="preserve">атомов </w:t>
      </w:r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Sn</w:t>
      </w:r>
      <w:r w:rsidR="00A11A45" w:rsidRPr="00701AB5">
        <w:rPr>
          <w:rFonts w:ascii="Times New Roman" w:eastAsia="Times New Roman" w:hAnsi="Times New Roman"/>
          <w:sz w:val="24"/>
          <w:szCs w:val="24"/>
          <w:lang w:eastAsia="ru-RU"/>
        </w:rPr>
        <w:t xml:space="preserve"> в структуру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СеО</w:t>
      </w:r>
      <w:r w:rsidR="00A11A45" w:rsidRPr="00841FF0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дифракто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граммах</w:t>
      </w:r>
      <w:proofErr w:type="spellEnd"/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образцов, модифицированных медью,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присутствуют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два пика при 2</w:t>
      </w:r>
      <m:oMath>
        <m:r>
          <w:rPr>
            <w:rFonts w:ascii="Cambria Math" w:eastAsia="Times New Roman" w:hAnsi="Cambria Math"/>
            <w:sz w:val="24"/>
            <w:szCs w:val="24"/>
            <w:lang w:eastAsia="ru-RU"/>
          </w:rPr>
          <m:t>θ</m:t>
        </m:r>
      </m:oMath>
      <w:r w:rsidR="009C078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=</w:t>
      </w:r>
      <w:r w:rsidR="009C078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35,5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sym w:font="Symbol" w:char="F0B0"/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и 38,7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sym w:font="Symbol" w:char="F0B0"/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, которые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соответствуют 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фазе 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val="en-US" w:eastAsia="ru-RU"/>
        </w:rPr>
        <w:t>CuO</w:t>
      </w:r>
      <w:proofErr w:type="spellEnd"/>
      <w:r w:rsidR="00A11A45" w:rsidRP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C078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A11A45" w:rsidRPr="00A11A45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тенорит</w:t>
      </w:r>
      <w:proofErr w:type="spellEnd"/>
      <w:r w:rsidR="00A11A45" w:rsidRPr="00A11A4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пространственная группа</w:t>
      </w:r>
      <w:r w:rsidR="00A11A45" w:rsidRP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C2/c)</w:t>
      </w:r>
      <w:r w:rsidR="00A11A4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11A45" w:rsidRPr="00A11A4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02"/>
      </w:tblGrid>
      <w:tr w:rsidR="00A11A45" w:rsidRPr="00092EB8" w14:paraId="54A51340" w14:textId="77777777" w:rsidTr="002B3172">
        <w:trPr>
          <w:trHeight w:val="3087"/>
        </w:trPr>
        <w:tc>
          <w:tcPr>
            <w:tcW w:w="5702" w:type="dxa"/>
            <w:shd w:val="clear" w:color="auto" w:fill="auto"/>
          </w:tcPr>
          <w:p w14:paraId="3DC54998" w14:textId="77777777" w:rsidR="00A11A45" w:rsidRPr="00092EB8" w:rsidRDefault="00A11A45" w:rsidP="002B31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85C61F1" wp14:editId="2B260C9B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125730</wp:posOffset>
                  </wp:positionV>
                  <wp:extent cx="3385820" cy="1901190"/>
                  <wp:effectExtent l="0" t="0" r="5080" b="3810"/>
                  <wp:wrapTight wrapText="bothSides">
                    <wp:wrapPolygon edited="0">
                      <wp:start x="0" y="0"/>
                      <wp:lineTo x="0" y="21499"/>
                      <wp:lineTo x="21551" y="21499"/>
                      <wp:lineTo x="21551" y="0"/>
                      <wp:lineTo x="0" y="0"/>
                    </wp:wrapPolygon>
                  </wp:wrapTight>
                  <wp:docPr id="7" name="Диаграмма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11A45" w:rsidRPr="00092EB8" w14:paraId="49BFAF18" w14:textId="77777777" w:rsidTr="002B3172">
        <w:trPr>
          <w:trHeight w:val="282"/>
        </w:trPr>
        <w:tc>
          <w:tcPr>
            <w:tcW w:w="5702" w:type="dxa"/>
            <w:shd w:val="clear" w:color="auto" w:fill="auto"/>
          </w:tcPr>
          <w:p w14:paraId="5BE05F95" w14:textId="07151057" w:rsidR="00A11A45" w:rsidRPr="00092EB8" w:rsidRDefault="00A11A45" w:rsidP="002B31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92EB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Рис. 1. Конверсия СО на Се</w:t>
            </w:r>
            <w:proofErr w:type="spellStart"/>
            <w:r w:rsidRPr="00092EB8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SnO</w:t>
            </w:r>
            <w:r w:rsidRPr="00092EB8">
              <w:rPr>
                <w:rFonts w:ascii="Times New Roman" w:eastAsia="Times New Roman" w:hAnsi="Times New Roman"/>
                <w:i/>
                <w:sz w:val="24"/>
                <w:szCs w:val="24"/>
                <w:vertAlign w:val="subscript"/>
                <w:lang w:val="en-US" w:eastAsia="ru-RU"/>
              </w:rPr>
              <w:t>x</w:t>
            </w:r>
            <w:proofErr w:type="spellEnd"/>
          </w:p>
        </w:tc>
      </w:tr>
    </w:tbl>
    <w:p w14:paraId="59AD0EFF" w14:textId="1F7C26F0" w:rsidR="00A11A45" w:rsidRPr="009D5D2C" w:rsidRDefault="00A11A45" w:rsidP="00A11A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Каталитические свойства (навеска катализатора 0,1 г) изучали в проточной установке с импульсной подачей смеси реагентов (2%СО, 1%О</w:t>
      </w:r>
      <w:r w:rsidRPr="004345D3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баланс – Не) в интервале от 100 до 400</w:t>
      </w:r>
      <w:r>
        <w:rPr>
          <w:rFonts w:ascii="Arial" w:eastAsia="Times New Roman" w:hAnsi="Arial" w:cs="Arial"/>
          <w:sz w:val="24"/>
          <w:szCs w:val="24"/>
          <w:lang w:eastAsia="ru-RU"/>
        </w:rPr>
        <w:t>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На рис. 1 представлена зависимость конверсии СО от температуры. Катализаторы проявили активность в реакции, причем увеличение содержания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Sn</w:t>
      </w:r>
      <w:r w:rsidRPr="00AB17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приводит к улучшению каталитических свойств, </w:t>
      </w:r>
      <w:r w:rsidR="008600AE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модификация медью расширяет диапазон активного действия катализатора</w:t>
      </w:r>
      <w:r w:rsidR="008600AE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область низких температур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Полная конверсия СО в условиях эксперимента не достигнута.</w:t>
      </w:r>
    </w:p>
    <w:p w14:paraId="5F254053" w14:textId="77777777" w:rsidR="00A11A45" w:rsidRPr="004345D3" w:rsidRDefault="00A11A45" w:rsidP="00A11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08E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Литература</w:t>
      </w:r>
    </w:p>
    <w:p w14:paraId="33219B60" w14:textId="77777777" w:rsidR="00A11A45" w:rsidRDefault="00A11A45" w:rsidP="00A11A45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</w:pPr>
      <w:proofErr w:type="spellStart"/>
      <w:r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>Prathap</w:t>
      </w:r>
      <w:proofErr w:type="spellEnd"/>
      <w:r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M. U. A.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Srivastava R. Synthesis of </w:t>
      </w:r>
      <w:proofErr w:type="spellStart"/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>nanoporous</w:t>
      </w:r>
      <w:proofErr w:type="spellEnd"/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metal oxides through the self-assembly of phloroglucinol–formaldehyde </w:t>
      </w:r>
      <w:proofErr w:type="spellStart"/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>resol</w:t>
      </w:r>
      <w:proofErr w:type="spellEnd"/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and tri-block copolymer //</w:t>
      </w:r>
      <w:r w:rsidRPr="007B590A">
        <w:rPr>
          <w:rFonts w:ascii="Arial" w:hAnsi="Arial" w:cs="Arial"/>
          <w:color w:val="000000"/>
          <w:sz w:val="27"/>
          <w:szCs w:val="27"/>
          <w:lang w:val="en-US"/>
        </w:rPr>
        <w:t xml:space="preserve"> </w:t>
      </w:r>
      <w:r w:rsidRPr="007B590A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>J. Colloid Interface Sci.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2011.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Т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. 358. №. 2. 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С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. 399-408, </w:t>
      </w:r>
    </w:p>
    <w:p w14:paraId="2B5288F1" w14:textId="77777777" w:rsidR="00A11A45" w:rsidRPr="00A11A45" w:rsidRDefault="00A11A45" w:rsidP="00A11A45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Lundberg M. </w:t>
      </w:r>
      <w:proofErr w:type="spellStart"/>
      <w:r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>Skårman</w:t>
      </w:r>
      <w:proofErr w:type="spellEnd"/>
      <w:r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B.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Wallenberg L. R. Crystallography and porosity effects of CO conversion on mesoporous CeO</w:t>
      </w:r>
      <w:r w:rsidRPr="004345D3">
        <w:rPr>
          <w:rFonts w:ascii="Times New Roman" w:hAnsi="Times New Roman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//</w:t>
      </w:r>
      <w:r w:rsidRPr="007B590A">
        <w:rPr>
          <w:rFonts w:ascii="Arial" w:hAnsi="Arial" w:cs="Arial"/>
          <w:color w:val="000000"/>
          <w:sz w:val="27"/>
          <w:szCs w:val="27"/>
          <w:lang w:val="en-US"/>
        </w:rPr>
        <w:t xml:space="preserve"> </w:t>
      </w:r>
      <w:r w:rsidRPr="007B590A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Microporous Mesoporous Mater. 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2004. 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Т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>. 69.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№.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 xml:space="preserve"> 3.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С</w:t>
      </w:r>
      <w:r w:rsidRPr="00AD4AE0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>. 187-195.</w:t>
      </w:r>
      <w:r w:rsidRPr="00082422">
        <w:rPr>
          <w:noProof/>
        </w:rPr>
        <w:t xml:space="preserve"> </w:t>
      </w:r>
    </w:p>
    <w:sectPr w:rsidR="00A11A45" w:rsidRPr="00A11A45" w:rsidSect="00AC30E3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2B473D"/>
    <w:multiLevelType w:val="hybridMultilevel"/>
    <w:tmpl w:val="809A170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A45"/>
    <w:rsid w:val="002D3782"/>
    <w:rsid w:val="008600AE"/>
    <w:rsid w:val="009C0786"/>
    <w:rsid w:val="00A11A45"/>
    <w:rsid w:val="00AC30E3"/>
    <w:rsid w:val="00C239EC"/>
    <w:rsid w:val="00DF13EA"/>
    <w:rsid w:val="00E9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76F70"/>
  <w14:defaultImageDpi w14:val="32767"/>
  <w15:chartTrackingRefBased/>
  <w15:docId w15:val="{0B929337-3310-024A-87A4-F9280EE0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A11A45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заза"/>
    <w:basedOn w:val="a"/>
    <w:autoRedefine/>
    <w:qFormat/>
    <w:rsid w:val="00E9620F"/>
    <w:pPr>
      <w:widowControl w:val="0"/>
      <w:suppressAutoHyphens/>
      <w:autoSpaceDN w:val="0"/>
      <w:jc w:val="center"/>
      <w:textAlignment w:val="baseline"/>
    </w:pPr>
    <w:rPr>
      <w:rFonts w:ascii="Times New Roman" w:eastAsia="SimSun" w:hAnsi="Times New Roman" w:cs="Mangal"/>
      <w:b/>
      <w:bCs/>
      <w:kern w:val="3"/>
      <w:sz w:val="34"/>
      <w:szCs w:val="34"/>
      <w:lang w:eastAsia="zh-CN" w:bidi="hi-IN"/>
    </w:rPr>
  </w:style>
  <w:style w:type="paragraph" w:customStyle="1" w:styleId="a4">
    <w:name w:val="Курсовая текст"/>
    <w:basedOn w:val="a"/>
    <w:qFormat/>
    <w:rsid w:val="00DF13EA"/>
    <w:pPr>
      <w:spacing w:line="360" w:lineRule="auto"/>
      <w:ind w:left="709"/>
      <w:jc w:val="both"/>
    </w:pPr>
    <w:rPr>
      <w:rFonts w:ascii="Times New Roman" w:hAnsi="Times New Roman"/>
      <w:sz w:val="28"/>
      <w:lang w:eastAsia="ru-RU"/>
    </w:rPr>
  </w:style>
  <w:style w:type="paragraph" w:customStyle="1" w:styleId="a5">
    <w:name w:val="Курсовая заголовок раздел"/>
    <w:basedOn w:val="a4"/>
    <w:rsid w:val="00DF13EA"/>
    <w:rPr>
      <w:b/>
      <w:sz w:val="48"/>
    </w:rPr>
  </w:style>
  <w:style w:type="character" w:styleId="a6">
    <w:name w:val="Placeholder Text"/>
    <w:basedOn w:val="a0"/>
    <w:uiPriority w:val="99"/>
    <w:semiHidden/>
    <w:rsid w:val="00A11A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/Volumes\NO%20NAME\&#1050;&#1072;&#1090;&#1072;&#1083;&#1080;&#1090;&#1080;&#1095;&#1077;&#1089;&#1082;&#1072;&#1103;%20&#1072;&#1082;&#1090;&#1080;&#1074;&#1085;&#1089;&#1090;&#1100;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v>Ce0.9Sn0.1O2</c:v>
          </c:tx>
          <c:marker>
            <c:symbol val="circle"/>
            <c:size val="6"/>
          </c:marker>
          <c:xVal>
            <c:numRef>
              <c:f>'(0.9|0.1)#1'!$A$2:$A$8</c:f>
              <c:numCache>
                <c:formatCode>General</c:formatCode>
                <c:ptCount val="7"/>
                <c:pt idx="0">
                  <c:v>100</c:v>
                </c:pt>
                <c:pt idx="1">
                  <c:v>150</c:v>
                </c:pt>
                <c:pt idx="2">
                  <c:v>200</c:v>
                </c:pt>
                <c:pt idx="3">
                  <c:v>250</c:v>
                </c:pt>
                <c:pt idx="4">
                  <c:v>300</c:v>
                </c:pt>
                <c:pt idx="5">
                  <c:v>350</c:v>
                </c:pt>
                <c:pt idx="6">
                  <c:v>400</c:v>
                </c:pt>
              </c:numCache>
            </c:numRef>
          </c:xVal>
          <c:yVal>
            <c:numRef>
              <c:f>'(0.9|0.1)#1'!$B$2:$B$8</c:f>
              <c:numCache>
                <c:formatCode>General</c:formatCode>
                <c:ptCount val="7"/>
                <c:pt idx="0">
                  <c:v>0</c:v>
                </c:pt>
                <c:pt idx="1">
                  <c:v>20</c:v>
                </c:pt>
                <c:pt idx="2">
                  <c:v>30</c:v>
                </c:pt>
                <c:pt idx="3">
                  <c:v>58</c:v>
                </c:pt>
                <c:pt idx="4">
                  <c:v>61</c:v>
                </c:pt>
                <c:pt idx="5">
                  <c:v>63</c:v>
                </c:pt>
                <c:pt idx="6">
                  <c:v>66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66A-B34E-8B79-A5CCE90EA36F}"/>
            </c:ext>
          </c:extLst>
        </c:ser>
        <c:ser>
          <c:idx val="1"/>
          <c:order val="1"/>
          <c:tx>
            <c:v>Ce0.95Sn0.05O2</c:v>
          </c:tx>
          <c:spPr>
            <a:ln>
              <a:solidFill>
                <a:srgbClr val="C00000"/>
              </a:solidFill>
            </a:ln>
          </c:spPr>
          <c:marker>
            <c:symbol val="diamond"/>
            <c:size val="7"/>
          </c:marker>
          <c:xVal>
            <c:numRef>
              <c:f>'(0.95|0.05)'!$A$2:$A$8</c:f>
              <c:numCache>
                <c:formatCode>General</c:formatCode>
                <c:ptCount val="7"/>
                <c:pt idx="0">
                  <c:v>100</c:v>
                </c:pt>
                <c:pt idx="1">
                  <c:v>150</c:v>
                </c:pt>
                <c:pt idx="2">
                  <c:v>200</c:v>
                </c:pt>
                <c:pt idx="3">
                  <c:v>250</c:v>
                </c:pt>
                <c:pt idx="4">
                  <c:v>300</c:v>
                </c:pt>
                <c:pt idx="5">
                  <c:v>350</c:v>
                </c:pt>
                <c:pt idx="6">
                  <c:v>400</c:v>
                </c:pt>
              </c:numCache>
            </c:numRef>
          </c:xVal>
          <c:yVal>
            <c:numRef>
              <c:f>'(0.95|0.05)'!$B$2:$B$8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19</c:v>
                </c:pt>
                <c:pt idx="3">
                  <c:v>44</c:v>
                </c:pt>
                <c:pt idx="4">
                  <c:v>56</c:v>
                </c:pt>
                <c:pt idx="5">
                  <c:v>61</c:v>
                </c:pt>
                <c:pt idx="6">
                  <c:v>64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866A-B34E-8B79-A5CCE90EA3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132478912"/>
        <c:axId val="-2132462896"/>
      </c:scatterChart>
      <c:valAx>
        <c:axId val="-2132478912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 sz="1400"/>
                </a:pPr>
                <a:r>
                  <a:rPr lang="ru-RU" sz="1400"/>
                  <a:t>Температура, </a:t>
                </a:r>
                <a:r>
                  <a:rPr lang="ru-RU" sz="1400">
                    <a:latin typeface="Calibri"/>
                    <a:cs typeface="Calibri"/>
                  </a:rPr>
                  <a:t>°</a:t>
                </a:r>
                <a:r>
                  <a:rPr lang="en-US" sz="1400">
                    <a:latin typeface="Calibri"/>
                    <a:cs typeface="Calibri"/>
                  </a:rPr>
                  <a:t>C</a:t>
                </a:r>
                <a:endParaRPr lang="ru-RU" sz="1400"/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-2132462896"/>
        <c:crosses val="autoZero"/>
        <c:crossBetween val="midCat"/>
        <c:majorUnit val="50"/>
      </c:valAx>
      <c:valAx>
        <c:axId val="-2132462896"/>
        <c:scaling>
          <c:orientation val="minMax"/>
        </c:scaling>
        <c:delete val="0"/>
        <c:axPos val="l"/>
        <c:majorGridlines>
          <c:spPr>
            <a:ln>
              <a:solidFill>
                <a:schemeClr val="accent1"/>
              </a:solidFill>
            </a:ln>
          </c:spPr>
        </c:majorGridlines>
        <c:minorGridlines/>
        <c:title>
          <c:tx>
            <c:rich>
              <a:bodyPr rot="-5400000" vert="horz"/>
              <a:lstStyle/>
              <a:p>
                <a:pPr>
                  <a:defRPr sz="1400"/>
                </a:pPr>
                <a:r>
                  <a:rPr lang="ru-RU" sz="1400"/>
                  <a:t>Конверсия</a:t>
                </a:r>
                <a:r>
                  <a:rPr lang="en-US" sz="1400"/>
                  <a:t>  CO</a:t>
                </a:r>
                <a:r>
                  <a:rPr lang="ru-RU" sz="1400"/>
                  <a:t>,</a:t>
                </a:r>
                <a:r>
                  <a:rPr lang="ru-RU" sz="1400" baseline="0"/>
                  <a:t> % </a:t>
                </a:r>
                <a:endParaRPr lang="ru-RU" sz="1400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-2132478912"/>
        <c:crosses val="autoZero"/>
        <c:crossBetween val="midCat"/>
      </c:valAx>
    </c:plotArea>
    <c:plotVisOnly val="1"/>
    <c:dispBlanksAs val="gap"/>
    <c:showDLblsOverMax val="0"/>
  </c:chart>
  <c:spPr>
    <a:noFill/>
    <a:ln>
      <a:noFill/>
    </a:ln>
  </c:spPr>
  <c:externalData r:id="rId2">
    <c:autoUpdate val="0"/>
  </c:externalData>
  <c:userShapes r:id="rId3"/>
</c:chartSpace>
</file>

<file path=word/drawings/_rels/drawing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png"/><Relationship Id="rId1" Type="http://schemas.openxmlformats.org/officeDocument/2006/relationships/image" Target="../media/image1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0.335</cdr:x>
      <cdr:y>0.26389</cdr:y>
    </cdr:from>
    <cdr:to>
      <cdr:x>0.535</cdr:x>
      <cdr:y>0.36389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531620" y="723900"/>
          <a:ext cx="914400" cy="27432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t"/>
        <a:lstStyle xmlns:a="http://schemas.openxmlformats.org/drawingml/2006/main"/>
        <a:p xmlns:a="http://schemas.openxmlformats.org/drawingml/2006/main">
          <a:r>
            <a:rPr lang="en-US" sz="1400" b="1"/>
            <a:t>Ce</a:t>
          </a:r>
          <a:r>
            <a:rPr lang="en-US" sz="1400" b="1" baseline="-25000"/>
            <a:t>0.9</a:t>
          </a:r>
          <a:r>
            <a:rPr lang="en-US" sz="1400" b="1"/>
            <a:t>Sn</a:t>
          </a:r>
          <a:r>
            <a:rPr lang="en-US" sz="1200" b="1" baseline="-25000"/>
            <a:t>0.1</a:t>
          </a:r>
          <a:r>
            <a:rPr lang="en-US" sz="1400" b="1"/>
            <a:t>O</a:t>
          </a:r>
          <a:r>
            <a:rPr lang="en-US" sz="1400" b="1" baseline="-25000"/>
            <a:t>x</a:t>
          </a:r>
          <a:endParaRPr lang="ru-RU" sz="1400" b="1" baseline="-25000"/>
        </a:p>
      </cdr:txBody>
    </cdr:sp>
  </cdr:relSizeAnchor>
  <cdr:relSizeAnchor xmlns:cdr="http://schemas.openxmlformats.org/drawingml/2006/chartDrawing">
    <cdr:from>
      <cdr:x>0.62833</cdr:x>
      <cdr:y>0.26389</cdr:y>
    </cdr:from>
    <cdr:to>
      <cdr:x>0.87667</cdr:x>
      <cdr:y>0.34722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2872740" y="723900"/>
          <a:ext cx="1135380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en-US" sz="1400" b="1"/>
            <a:t>Ce</a:t>
          </a:r>
          <a:r>
            <a:rPr lang="en-US" sz="1400" b="1" baseline="-25000"/>
            <a:t>0.95</a:t>
          </a:r>
          <a:r>
            <a:rPr lang="en-US" sz="1400" b="1"/>
            <a:t>Sn</a:t>
          </a:r>
          <a:r>
            <a:rPr lang="en-US" sz="1400" b="1" baseline="-25000"/>
            <a:t>0.05</a:t>
          </a:r>
          <a:r>
            <a:rPr lang="en-US" sz="1400" b="1"/>
            <a:t>O</a:t>
          </a:r>
          <a:r>
            <a:rPr lang="en-US" sz="1400" b="1" baseline="-25000"/>
            <a:t>x</a:t>
          </a:r>
          <a:endParaRPr lang="ru-RU" sz="1400" b="1" baseline="-25000"/>
        </a:p>
      </cdr:txBody>
    </cdr:sp>
  </cdr:relSizeAnchor>
  <cdr:relSizeAnchor xmlns:cdr="http://schemas.openxmlformats.org/drawingml/2006/chartDrawing">
    <cdr:from>
      <cdr:x>0.55778</cdr:x>
      <cdr:y>0.27375</cdr:y>
    </cdr:from>
    <cdr:to>
      <cdr:x>0.55778</cdr:x>
      <cdr:y>0.75236</cdr:y>
    </cdr:to>
    <cdr:cxnSp macro="">
      <cdr:nvCxnSpPr>
        <cdr:cNvPr id="5" name="Прямая соединительная линия 4"/>
        <cdr:cNvCxnSpPr/>
      </cdr:nvCxnSpPr>
      <cdr:spPr>
        <a:xfrm xmlns:a="http://schemas.openxmlformats.org/drawingml/2006/main">
          <a:off x="6946574" y="1917699"/>
          <a:ext cx="0" cy="3352800"/>
        </a:xfrm>
        <a:prstGeom xmlns:a="http://schemas.openxmlformats.org/drawingml/2006/main" prst="line">
          <a:avLst/>
        </a:prstGeom>
        <a:ln xmlns:a="http://schemas.openxmlformats.org/drawingml/2006/main" w="19050">
          <a:solidFill>
            <a:schemeClr val="tx2">
              <a:lumMod val="60000"/>
              <a:lumOff val="40000"/>
            </a:schemeClr>
          </a:solidFill>
          <a:prstDash val="dash"/>
        </a:ln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0.63105</cdr:x>
      <cdr:y>0.27012</cdr:y>
    </cdr:from>
    <cdr:to>
      <cdr:x>0.63105</cdr:x>
      <cdr:y>0.75236</cdr:y>
    </cdr:to>
    <cdr:cxnSp macro="">
      <cdr:nvCxnSpPr>
        <cdr:cNvPr id="6" name="Прямая соединительная линия 5"/>
        <cdr:cNvCxnSpPr/>
      </cdr:nvCxnSpPr>
      <cdr:spPr>
        <a:xfrm xmlns:a="http://schemas.openxmlformats.org/drawingml/2006/main">
          <a:off x="7859085" y="1892299"/>
          <a:ext cx="0" cy="3378200"/>
        </a:xfrm>
        <a:prstGeom xmlns:a="http://schemas.openxmlformats.org/drawingml/2006/main" prst="line">
          <a:avLst/>
        </a:prstGeom>
        <a:ln xmlns:a="http://schemas.openxmlformats.org/drawingml/2006/main" w="19050">
          <a:solidFill>
            <a:srgbClr val="FF0000"/>
          </a:solidFill>
          <a:prstDash val="dash"/>
        </a:ln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</cdr:x>
      <cdr:y>0</cdr:y>
    </cdr:from>
    <cdr:to>
      <cdr:x>1</cdr:x>
      <cdr:y>1</cdr:y>
    </cdr:to>
    <cdr:pic>
      <cdr:nvPicPr>
        <cdr:cNvPr id="7" name="Рисунок 6">
          <a:extLst xmlns:a="http://schemas.openxmlformats.org/drawingml/2006/main">
            <a:ext uri="{FF2B5EF4-FFF2-40B4-BE49-F238E27FC236}">
              <a16:creationId xmlns:a16="http://schemas.microsoft.com/office/drawing/2014/main" id="{FC139515-1831-A44E-8D1A-56776879C6AC}"/>
            </a:ext>
          </a:extLst>
        </cdr:cNvPr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>
          <a:extLst>
            <a:ext uri="{28A0092B-C50C-407E-A947-70E740481C1C}">
              <a14:useLocalDpi xmlns:a14="http://schemas.microsoft.com/office/drawing/2010/main" val="0"/>
            </a:ext>
          </a:extLst>
        </a:blip>
        <a:stretch xmlns:a="http://schemas.openxmlformats.org/drawingml/2006/main">
          <a:fillRect/>
        </a:stretch>
      </cdr:blipFill>
      <cdr:spPr>
        <a:xfrm xmlns:a="http://schemas.openxmlformats.org/drawingml/2006/main">
          <a:off x="50800" y="1809465"/>
          <a:ext cx="9144000" cy="5138235"/>
        </a:xfrm>
        <a:prstGeom xmlns:a="http://schemas.openxmlformats.org/drawingml/2006/main" prst="rect">
          <a:avLst/>
        </a:prstGeom>
      </cdr:spPr>
    </cdr:pic>
  </cdr:relSizeAnchor>
  <cdr:relSizeAnchor xmlns:cdr="http://schemas.openxmlformats.org/drawingml/2006/chartDrawing">
    <cdr:from>
      <cdr:x>0</cdr:x>
      <cdr:y>0</cdr:y>
    </cdr:from>
    <cdr:to>
      <cdr:x>1</cdr:x>
      <cdr:y>1</cdr:y>
    </cdr:to>
    <cdr:pic>
      <cdr:nvPicPr>
        <cdr:cNvPr id="8" name="Рисунок 7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2">
          <a:extLst>
            <a:ext uri="{28A0092B-C50C-407E-A947-70E740481C1C}">
              <a14:useLocalDpi xmlns:a14="http://schemas.microsoft.com/office/drawing/2010/main" val="0"/>
            </a:ext>
          </a:extLst>
        </a:blip>
        <a:stretch xmlns:a="http://schemas.openxmlformats.org/drawingml/2006/main">
          <a:fillRect/>
        </a:stretch>
      </cdr:blipFill>
      <cdr:spPr>
        <a:xfrm xmlns:a="http://schemas.openxmlformats.org/drawingml/2006/main">
          <a:off x="-1312333" y="0"/>
          <a:ext cx="3385820" cy="1901190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384</Words>
  <Characters>2192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2020-02-25T18:53:00Z</dcterms:created>
  <dcterms:modified xsi:type="dcterms:W3CDTF">2020-02-25T19:43:00Z</dcterms:modified>
</cp:coreProperties>
</file>