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9FD" w:rsidRDefault="00DF69FD" w:rsidP="00DF69F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Механизмы взаимодействия белка </w:t>
      </w:r>
      <w:r>
        <w:rPr>
          <w:rFonts w:ascii="Times New Roman" w:hAnsi="Times New Roman"/>
          <w:b/>
          <w:sz w:val="24"/>
          <w:szCs w:val="24"/>
          <w:lang w:val="en-US"/>
        </w:rPr>
        <w:t>EB</w:t>
      </w:r>
      <w:r>
        <w:rPr>
          <w:rFonts w:ascii="Times New Roman" w:hAnsi="Times New Roman"/>
          <w:b/>
          <w:sz w:val="24"/>
          <w:szCs w:val="24"/>
        </w:rPr>
        <w:t>1 с микротрубочкой</w:t>
      </w:r>
    </w:p>
    <w:p w:rsidR="00DF69FD" w:rsidRDefault="00DF69FD" w:rsidP="00DF69FD">
      <w:pPr>
        <w:spacing w:line="240" w:lineRule="auto"/>
        <w:ind w:firstLine="397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Муртазина Алина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Равильевна</w:t>
      </w:r>
      <w:proofErr w:type="spellEnd"/>
    </w:p>
    <w:p w:rsidR="00DF69FD" w:rsidRDefault="00DF69FD" w:rsidP="00DF69F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Студент</w:t>
      </w:r>
    </w:p>
    <w:p w:rsidR="00DF69FD" w:rsidRDefault="00DF69FD" w:rsidP="00DF69F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hAnsi="Times New Roman"/>
          <w:i/>
          <w:sz w:val="24"/>
          <w:szCs w:val="24"/>
        </w:rPr>
        <w:t>М.В.Ломоносова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DF69FD" w:rsidRDefault="00DF69FD" w:rsidP="00DF69F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физический факультет, Москва, Россия</w:t>
      </w:r>
    </w:p>
    <w:p w:rsidR="00DF69FD" w:rsidRPr="00DF69FD" w:rsidRDefault="00DF69FD" w:rsidP="00DF69F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>E</w:t>
      </w:r>
      <w:r w:rsidRPr="00BE02A9">
        <w:rPr>
          <w:rFonts w:ascii="Times New Roman" w:hAnsi="Times New Roman"/>
          <w:i/>
          <w:sz w:val="24"/>
          <w:szCs w:val="24"/>
        </w:rPr>
        <w:t>-</w:t>
      </w:r>
      <w:r>
        <w:rPr>
          <w:rFonts w:ascii="Times New Roman" w:hAnsi="Times New Roman"/>
          <w:i/>
          <w:sz w:val="24"/>
          <w:szCs w:val="24"/>
          <w:lang w:val="en-US"/>
        </w:rPr>
        <w:t>mail</w:t>
      </w:r>
      <w:r w:rsidRPr="00BE02A9">
        <w:rPr>
          <w:rFonts w:ascii="Times New Roman" w:hAnsi="Times New Roman"/>
          <w:i/>
          <w:sz w:val="24"/>
          <w:szCs w:val="24"/>
        </w:rPr>
        <w:t xml:space="preserve">: </w:t>
      </w:r>
      <w:hyperlink r:id="rId5" w:history="1">
        <w:r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murtazina</w:t>
        </w:r>
        <w:r w:rsidRPr="00BE02A9">
          <w:rPr>
            <w:rStyle w:val="a3"/>
            <w:rFonts w:ascii="Times New Roman" w:hAnsi="Times New Roman"/>
            <w:i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alina</w:t>
        </w:r>
        <w:r w:rsidRPr="00BE02A9">
          <w:rPr>
            <w:rStyle w:val="a3"/>
            <w:rFonts w:ascii="Times New Roman" w:hAnsi="Times New Roman"/>
            <w:i/>
            <w:sz w:val="24"/>
            <w:szCs w:val="24"/>
          </w:rPr>
          <w:t>@</w:t>
        </w:r>
        <w:r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physics</w:t>
        </w:r>
        <w:r w:rsidRPr="00BE02A9">
          <w:rPr>
            <w:rStyle w:val="a3"/>
            <w:rFonts w:ascii="Times New Roman" w:hAnsi="Times New Roman"/>
            <w:i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msu</w:t>
        </w:r>
        <w:r w:rsidRPr="00BE02A9">
          <w:rPr>
            <w:rStyle w:val="a3"/>
            <w:rFonts w:ascii="Times New Roman" w:hAnsi="Times New Roman"/>
            <w:i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ru</w:t>
        </w:r>
        <w:proofErr w:type="spellEnd"/>
      </w:hyperlink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Микротрубочки – это динамические полимеры в живой клетке, обеспечивающие быстрый и направленный транспорт хромосом в митозе, везикул, а также поддерживающие форму и «интерьер» клетки. Правильное функционирование микротрубочек обеспечивается множеством ассоциированных с ними белков. Одним из них является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– маленький (около 30 </w:t>
      </w:r>
      <w:proofErr w:type="spellStart"/>
      <w:r>
        <w:rPr>
          <w:rFonts w:ascii="Times New Roman" w:hAnsi="Times New Roman"/>
          <w:sz w:val="24"/>
          <w:szCs w:val="24"/>
        </w:rPr>
        <w:t>кДа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димерный</w:t>
      </w:r>
      <w:proofErr w:type="spellEnd"/>
      <w:r>
        <w:rPr>
          <w:rFonts w:ascii="Times New Roman" w:hAnsi="Times New Roman"/>
          <w:sz w:val="24"/>
          <w:szCs w:val="24"/>
        </w:rPr>
        <w:t xml:space="preserve"> белок, имеющий предпочтение к «плюс</w:t>
      </w:r>
      <w:proofErr w:type="gramStart"/>
      <w:r>
        <w:rPr>
          <w:rFonts w:ascii="Times New Roman" w:hAnsi="Times New Roman"/>
          <w:sz w:val="24"/>
          <w:szCs w:val="24"/>
        </w:rPr>
        <w:t>»-</w:t>
      </w:r>
      <w:proofErr w:type="gramEnd"/>
      <w:r>
        <w:rPr>
          <w:rFonts w:ascii="Times New Roman" w:hAnsi="Times New Roman"/>
          <w:sz w:val="24"/>
          <w:szCs w:val="24"/>
        </w:rPr>
        <w:t xml:space="preserve">концу микротрубочки и способный присоединять туда другие концевые белки.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имеет как собственное влияние на динамику микротрубочки (что выявляется в </w:t>
      </w:r>
      <w:r>
        <w:rPr>
          <w:rFonts w:ascii="Times New Roman" w:hAnsi="Times New Roman"/>
          <w:i/>
          <w:sz w:val="24"/>
          <w:szCs w:val="24"/>
          <w:lang w:val="en-US"/>
        </w:rPr>
        <w:t>in</w:t>
      </w:r>
      <w:r w:rsidRPr="00DF69F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en-US"/>
        </w:rPr>
        <w:t>vitro</w:t>
      </w:r>
      <w:r w:rsidRPr="00DF69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экспериментах с очищенным </w:t>
      </w:r>
      <w:proofErr w:type="spellStart"/>
      <w:r>
        <w:rPr>
          <w:rFonts w:ascii="Times New Roman" w:hAnsi="Times New Roman"/>
          <w:sz w:val="24"/>
          <w:szCs w:val="24"/>
        </w:rPr>
        <w:t>тубулином</w:t>
      </w:r>
      <w:proofErr w:type="spellEnd"/>
      <w:r>
        <w:rPr>
          <w:rFonts w:ascii="Times New Roman" w:hAnsi="Times New Roman"/>
          <w:sz w:val="24"/>
          <w:szCs w:val="24"/>
        </w:rPr>
        <w:t>), так и опосредованное (служит площадкой для присоединения других необходимых белков к «плюс»-концу микротрубочки) [1].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третичной структуре белка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выделяют следующие части: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-концевой </w:t>
      </w:r>
      <w:proofErr w:type="spellStart"/>
      <w:r>
        <w:rPr>
          <w:rFonts w:ascii="Times New Roman" w:hAnsi="Times New Roman"/>
          <w:sz w:val="24"/>
          <w:szCs w:val="24"/>
        </w:rPr>
        <w:t>кальпонин</w:t>
      </w:r>
      <w:proofErr w:type="spellEnd"/>
      <w:r>
        <w:rPr>
          <w:rFonts w:ascii="Times New Roman" w:hAnsi="Times New Roman"/>
          <w:sz w:val="24"/>
          <w:szCs w:val="24"/>
        </w:rPr>
        <w:t xml:space="preserve">-гомологичный домен, непосредственно связывающий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с микротрубочкой; гибкий связывающий участок (линкер);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-концевой </w:t>
      </w:r>
      <w:proofErr w:type="spellStart"/>
      <w:r>
        <w:rPr>
          <w:rFonts w:ascii="Times New Roman" w:hAnsi="Times New Roman"/>
          <w:sz w:val="24"/>
          <w:szCs w:val="24"/>
        </w:rPr>
        <w:t>суперспиральный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домен, обеспечивающий </w:t>
      </w:r>
      <w:proofErr w:type="spellStart"/>
      <w:r>
        <w:rPr>
          <w:rFonts w:ascii="Times New Roman" w:hAnsi="Times New Roman"/>
          <w:sz w:val="24"/>
          <w:szCs w:val="24"/>
        </w:rPr>
        <w:t>димеризацию</w:t>
      </w:r>
      <w:proofErr w:type="spellEnd"/>
      <w:r>
        <w:rPr>
          <w:rFonts w:ascii="Times New Roman" w:hAnsi="Times New Roman"/>
          <w:sz w:val="24"/>
          <w:szCs w:val="24"/>
        </w:rPr>
        <w:t xml:space="preserve">; кислотный хвост, содержащий последовательность </w:t>
      </w:r>
      <w:r>
        <w:rPr>
          <w:rFonts w:ascii="Times New Roman" w:hAnsi="Times New Roman"/>
          <w:sz w:val="24"/>
          <w:szCs w:val="24"/>
          <w:lang w:val="en-US"/>
        </w:rPr>
        <w:t>EEY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  <w:lang w:val="en-US"/>
        </w:rPr>
        <w:t>F</w:t>
      </w:r>
      <w:r>
        <w:rPr>
          <w:rFonts w:ascii="Times New Roman" w:hAnsi="Times New Roman"/>
          <w:sz w:val="24"/>
          <w:szCs w:val="24"/>
        </w:rPr>
        <w:t xml:space="preserve">, служит для взаимодействия с другими «плюс»-концевыми белками. </w:t>
      </w: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клетке белок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работает как </w:t>
      </w:r>
      <w:proofErr w:type="spellStart"/>
      <w:r>
        <w:rPr>
          <w:rFonts w:ascii="Times New Roman" w:hAnsi="Times New Roman"/>
          <w:sz w:val="24"/>
          <w:szCs w:val="24"/>
        </w:rPr>
        <w:t>димер</w:t>
      </w:r>
      <w:proofErr w:type="spellEnd"/>
      <w:r>
        <w:rPr>
          <w:rFonts w:ascii="Times New Roman" w:hAnsi="Times New Roman"/>
          <w:sz w:val="24"/>
          <w:szCs w:val="24"/>
        </w:rPr>
        <w:t xml:space="preserve"> [2]. Однако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в экспериментах </w:t>
      </w:r>
      <w:r>
        <w:rPr>
          <w:rFonts w:ascii="Times New Roman" w:hAnsi="Times New Roman"/>
          <w:i/>
          <w:sz w:val="24"/>
          <w:szCs w:val="24"/>
          <w:lang w:val="en-US"/>
        </w:rPr>
        <w:t>in</w:t>
      </w:r>
      <w:r w:rsidRPr="00DF69F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en-US"/>
        </w:rPr>
        <w:t>vitro</w:t>
      </w:r>
      <w:r>
        <w:rPr>
          <w:rFonts w:ascii="Times New Roman" w:hAnsi="Times New Roman"/>
          <w:sz w:val="24"/>
          <w:szCs w:val="24"/>
        </w:rPr>
        <w:t xml:space="preserve"> было выявлено, что минимальной конструкцией, демонстрирующей схожее с полноразмерным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поведение, является </w:t>
      </w:r>
      <w:proofErr w:type="spellStart"/>
      <w:r>
        <w:rPr>
          <w:rFonts w:ascii="Times New Roman" w:hAnsi="Times New Roman"/>
          <w:sz w:val="24"/>
          <w:szCs w:val="24"/>
        </w:rPr>
        <w:t>кальпонин</w:t>
      </w:r>
      <w:proofErr w:type="spellEnd"/>
      <w:r>
        <w:rPr>
          <w:rFonts w:ascii="Times New Roman" w:hAnsi="Times New Roman"/>
          <w:sz w:val="24"/>
          <w:szCs w:val="24"/>
        </w:rPr>
        <w:t>-гомологичный домен с линкером (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1-</w:t>
      </w:r>
      <w:r>
        <w:rPr>
          <w:rFonts w:ascii="Times New Roman" w:hAnsi="Times New Roman"/>
          <w:sz w:val="24"/>
          <w:szCs w:val="24"/>
          <w:lang w:val="en-US"/>
        </w:rPr>
        <w:t>NL</w:t>
      </w:r>
      <w:r>
        <w:rPr>
          <w:rFonts w:ascii="Times New Roman" w:hAnsi="Times New Roman"/>
          <w:sz w:val="24"/>
          <w:szCs w:val="24"/>
        </w:rPr>
        <w:t xml:space="preserve">) [1]. Роль </w:t>
      </w:r>
      <w:proofErr w:type="spellStart"/>
      <w:r>
        <w:rPr>
          <w:rFonts w:ascii="Times New Roman" w:hAnsi="Times New Roman"/>
          <w:sz w:val="24"/>
          <w:szCs w:val="24"/>
        </w:rPr>
        <w:t>димеризации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белка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до конца не выяснена.  </w:t>
      </w: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целью определить роль </w:t>
      </w:r>
      <w:proofErr w:type="spellStart"/>
      <w:r>
        <w:rPr>
          <w:rFonts w:ascii="Times New Roman" w:hAnsi="Times New Roman"/>
          <w:sz w:val="24"/>
          <w:szCs w:val="24"/>
        </w:rPr>
        <w:t>димеризации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белка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и вклад его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-концевых доменов во взаимодействие с микротрубочками,  было решено сравнить влияние на динамику микротрубочек и форму кометы белков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и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1-</w:t>
      </w:r>
      <w:r>
        <w:rPr>
          <w:rFonts w:ascii="Times New Roman" w:hAnsi="Times New Roman"/>
          <w:sz w:val="24"/>
          <w:szCs w:val="24"/>
          <w:lang w:val="en-US"/>
        </w:rPr>
        <w:t>NL</w:t>
      </w:r>
      <w:r>
        <w:rPr>
          <w:rFonts w:ascii="Times New Roman" w:hAnsi="Times New Roman"/>
          <w:sz w:val="24"/>
          <w:szCs w:val="24"/>
        </w:rPr>
        <w:t xml:space="preserve">, взятых в количестве, обеспечивающем одинаковое число </w:t>
      </w:r>
      <w:proofErr w:type="spellStart"/>
      <w:r>
        <w:rPr>
          <w:rFonts w:ascii="Times New Roman" w:hAnsi="Times New Roman"/>
          <w:sz w:val="24"/>
          <w:szCs w:val="24"/>
        </w:rPr>
        <w:t>кальпонин</w:t>
      </w:r>
      <w:proofErr w:type="spellEnd"/>
      <w:r>
        <w:rPr>
          <w:rFonts w:ascii="Times New Roman" w:hAnsi="Times New Roman"/>
          <w:sz w:val="24"/>
          <w:szCs w:val="24"/>
        </w:rPr>
        <w:t xml:space="preserve">-гомологичных доменов в эксперименте (то есть </w:t>
      </w:r>
      <w:r>
        <w:rPr>
          <w:rFonts w:ascii="Times New Roman" w:hAnsi="Times New Roman"/>
          <w:sz w:val="24"/>
          <w:szCs w:val="24"/>
          <w:lang w:val="en-US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 и, соответственно, 2</w:t>
      </w:r>
      <w:r>
        <w:rPr>
          <w:rFonts w:ascii="Times New Roman" w:hAnsi="Times New Roman"/>
          <w:sz w:val="24"/>
          <w:szCs w:val="24"/>
          <w:lang w:val="en-US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1-</w:t>
      </w:r>
      <w:r>
        <w:rPr>
          <w:rFonts w:ascii="Times New Roman" w:hAnsi="Times New Roman"/>
          <w:sz w:val="24"/>
          <w:szCs w:val="24"/>
          <w:lang w:val="en-US"/>
        </w:rPr>
        <w:t>NL</w:t>
      </w:r>
      <w:r>
        <w:rPr>
          <w:rFonts w:ascii="Times New Roman" w:hAnsi="Times New Roman"/>
          <w:sz w:val="24"/>
          <w:szCs w:val="24"/>
        </w:rPr>
        <w:t xml:space="preserve">). Для получения конструкции </w:t>
      </w:r>
      <w:r>
        <w:rPr>
          <w:rFonts w:ascii="Times New Roman" w:hAnsi="Times New Roman"/>
          <w:sz w:val="24"/>
          <w:szCs w:val="24"/>
          <w:lang w:val="en-US"/>
        </w:rPr>
        <w:t>h</w:t>
      </w:r>
      <w:r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1_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eGFP</w:t>
      </w:r>
      <w:proofErr w:type="spellEnd"/>
      <w:r>
        <w:rPr>
          <w:rFonts w:ascii="Times New Roman" w:hAnsi="Times New Roman"/>
          <w:sz w:val="24"/>
          <w:szCs w:val="24"/>
        </w:rPr>
        <w:t xml:space="preserve"> была произведена трансформация компетентных клеток </w:t>
      </w:r>
      <w:proofErr w:type="spellStart"/>
      <w:r>
        <w:rPr>
          <w:rFonts w:ascii="Times New Roman" w:hAnsi="Times New Roman"/>
          <w:i/>
          <w:sz w:val="24"/>
          <w:szCs w:val="24"/>
        </w:rPr>
        <w:t>E.Coli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i/>
          <w:sz w:val="24"/>
          <w:szCs w:val="24"/>
        </w:rPr>
        <w:t>Rosetta</w:t>
      </w:r>
      <w:proofErr w:type="spellEnd"/>
      <w:r>
        <w:rPr>
          <w:rFonts w:ascii="Times New Roman" w:hAnsi="Times New Roman"/>
          <w:i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плазмидой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 вставкой, кодирующей нужный нам белок. Культура наращивалась в большом объёме и затем с неё выделяли h_EB1_eGFP с помощью </w:t>
      </w:r>
      <w:r>
        <w:rPr>
          <w:rFonts w:ascii="Times New Roman" w:hAnsi="Times New Roman"/>
          <w:sz w:val="24"/>
          <w:szCs w:val="24"/>
          <w:lang w:val="en-US"/>
        </w:rPr>
        <w:t>Ni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NTA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агарозы</w:t>
      </w:r>
      <w:proofErr w:type="spellEnd"/>
      <w:r>
        <w:rPr>
          <w:rFonts w:ascii="Times New Roman" w:hAnsi="Times New Roman"/>
          <w:sz w:val="24"/>
          <w:szCs w:val="24"/>
        </w:rPr>
        <w:t xml:space="preserve">. Для этого на С-конце белок имел последовательность из шести </w:t>
      </w:r>
      <w:proofErr w:type="spellStart"/>
      <w:r>
        <w:rPr>
          <w:rFonts w:ascii="Times New Roman" w:hAnsi="Times New Roman"/>
          <w:sz w:val="24"/>
          <w:szCs w:val="24"/>
        </w:rPr>
        <w:t>гистидиновых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остатков (6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xHis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tag</w:t>
      </w:r>
      <w:r>
        <w:rPr>
          <w:rFonts w:ascii="Times New Roman" w:hAnsi="Times New Roman"/>
          <w:sz w:val="24"/>
          <w:szCs w:val="24"/>
        </w:rPr>
        <w:t xml:space="preserve">), что было также закодировано в </w:t>
      </w:r>
      <w:proofErr w:type="spellStart"/>
      <w:r>
        <w:rPr>
          <w:rFonts w:ascii="Times New Roman" w:hAnsi="Times New Roman"/>
          <w:sz w:val="24"/>
          <w:szCs w:val="24"/>
        </w:rPr>
        <w:t>плазмидной</w:t>
      </w:r>
      <w:proofErr w:type="spellEnd"/>
      <w:r>
        <w:rPr>
          <w:rFonts w:ascii="Times New Roman" w:hAnsi="Times New Roman"/>
          <w:sz w:val="24"/>
          <w:szCs w:val="24"/>
        </w:rPr>
        <w:t xml:space="preserve"> вставке. Аналогичным образом была получена и конструкция  </w:t>
      </w:r>
      <w:proofErr w:type="spellStart"/>
      <w:r>
        <w:rPr>
          <w:rFonts w:ascii="Times New Roman" w:hAnsi="Times New Roman"/>
          <w:sz w:val="24"/>
          <w:szCs w:val="24"/>
        </w:rPr>
        <w:t>h_NL</w:t>
      </w:r>
      <w:proofErr w:type="spellEnd"/>
      <w:r>
        <w:rPr>
          <w:rFonts w:ascii="Times New Roman" w:hAnsi="Times New Roman"/>
          <w:sz w:val="24"/>
          <w:szCs w:val="24"/>
        </w:rPr>
        <w:t xml:space="preserve">(1-200)_EB1_eGFP. Таким образом, оба типа очищенных белков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были помечены флуоресцентным белком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eGFP</w:t>
      </w:r>
      <w:proofErr w:type="spellEnd"/>
      <w:r>
        <w:rPr>
          <w:rFonts w:ascii="Times New Roman" w:hAnsi="Times New Roman"/>
          <w:sz w:val="24"/>
          <w:szCs w:val="24"/>
        </w:rPr>
        <w:t xml:space="preserve">. Для наблюдения взаимодействия флуоресцентных белков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1-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eGFP</w:t>
      </w:r>
      <w:proofErr w:type="spellEnd"/>
      <w:r w:rsidRPr="00DF69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микротрубочек использовался метод </w:t>
      </w:r>
      <w:r>
        <w:rPr>
          <w:rFonts w:ascii="Times New Roman" w:hAnsi="Times New Roman"/>
          <w:sz w:val="24"/>
          <w:szCs w:val="24"/>
          <w:lang w:val="en-US"/>
        </w:rPr>
        <w:t>TIRFM</w:t>
      </w:r>
      <w:r w:rsidRPr="00DF69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(флуоресцентной микроскопии полного внутреннего отражения), позволяющий детектировать с высоким разрешением отдельные флуоресцирующие объекты, находящиеся близ границы раздела сред. Микротрубочки визуализировались за счёт меченых родамином затравок и </w:t>
      </w:r>
      <w:proofErr w:type="gramStart"/>
      <w:r>
        <w:rPr>
          <w:rFonts w:ascii="Times New Roman" w:hAnsi="Times New Roman"/>
          <w:sz w:val="24"/>
          <w:szCs w:val="24"/>
        </w:rPr>
        <w:t>меченого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1, который слабо окрашивал тело микротрубочек и с большей </w:t>
      </w:r>
      <w:proofErr w:type="spellStart"/>
      <w:r>
        <w:rPr>
          <w:rFonts w:ascii="Times New Roman" w:hAnsi="Times New Roman"/>
          <w:sz w:val="24"/>
          <w:szCs w:val="24"/>
        </w:rPr>
        <w:t>аффинностью</w:t>
      </w:r>
      <w:proofErr w:type="spellEnd"/>
      <w:r>
        <w:rPr>
          <w:rFonts w:ascii="Times New Roman" w:hAnsi="Times New Roman"/>
          <w:sz w:val="24"/>
          <w:szCs w:val="24"/>
        </w:rPr>
        <w:t xml:space="preserve"> связывался с концами микротрубочек. На основе видео, записанного в ходе эксперимента, строились </w:t>
      </w:r>
      <w:proofErr w:type="spellStart"/>
      <w:r>
        <w:rPr>
          <w:rFonts w:ascii="Times New Roman" w:hAnsi="Times New Roman"/>
          <w:sz w:val="24"/>
          <w:szCs w:val="24"/>
        </w:rPr>
        <w:t>кимограммы</w:t>
      </w:r>
      <w:proofErr w:type="spellEnd"/>
      <w:r>
        <w:rPr>
          <w:rFonts w:ascii="Times New Roman" w:hAnsi="Times New Roman"/>
          <w:sz w:val="24"/>
          <w:szCs w:val="24"/>
        </w:rPr>
        <w:t xml:space="preserve">, по которым </w:t>
      </w:r>
      <w:r>
        <w:rPr>
          <w:rFonts w:ascii="Times New Roman" w:hAnsi="Times New Roman"/>
          <w:sz w:val="24"/>
          <w:szCs w:val="24"/>
        </w:rPr>
        <w:lastRenderedPageBreak/>
        <w:t xml:space="preserve">рассчитывались параметры динамики микротрубочек. По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r w:rsidR="00BE02A9">
        <w:rPr>
          <w:rFonts w:ascii="Times New Roman" w:hAnsi="Times New Roman"/>
          <w:sz w:val="24"/>
          <w:szCs w:val="24"/>
        </w:rPr>
        <w:t>лученным</w:t>
      </w:r>
      <w:proofErr w:type="gramEnd"/>
      <w:r w:rsidR="00BE02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02A9">
        <w:rPr>
          <w:rFonts w:ascii="Times New Roman" w:hAnsi="Times New Roman"/>
          <w:sz w:val="24"/>
          <w:szCs w:val="24"/>
        </w:rPr>
        <w:t>кимограммам</w:t>
      </w:r>
      <w:proofErr w:type="spellEnd"/>
      <w:r w:rsidR="00BE02A9">
        <w:rPr>
          <w:rFonts w:ascii="Times New Roman" w:hAnsi="Times New Roman"/>
          <w:sz w:val="24"/>
          <w:szCs w:val="24"/>
        </w:rPr>
        <w:t xml:space="preserve"> сравнивались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эффекты полноразмерного и укороченного вариантов белка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с микротрубочкой. Кроме того, с помощью программы, разработанной на кафедре биофизики физического факультета МГУ, оценивался размер участка на конце микротрубочки, узнаваемого белками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 и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>1-</w:t>
      </w:r>
      <w:r>
        <w:rPr>
          <w:rFonts w:ascii="Times New Roman" w:hAnsi="Times New Roman"/>
          <w:sz w:val="24"/>
          <w:szCs w:val="24"/>
          <w:lang w:val="en-US"/>
        </w:rPr>
        <w:t>NL</w:t>
      </w:r>
      <w:r>
        <w:rPr>
          <w:rFonts w:ascii="Times New Roman" w:hAnsi="Times New Roman"/>
          <w:sz w:val="24"/>
          <w:szCs w:val="24"/>
        </w:rPr>
        <w:t xml:space="preserve">. Результаты данной работы позволят пролить свет на механизм работы белка </w:t>
      </w:r>
      <w:r>
        <w:rPr>
          <w:rFonts w:ascii="Times New Roman" w:hAnsi="Times New Roman"/>
          <w:sz w:val="24"/>
          <w:szCs w:val="24"/>
          <w:lang w:val="en-US"/>
        </w:rPr>
        <w:t>EB</w:t>
      </w:r>
      <w:r>
        <w:rPr>
          <w:rFonts w:ascii="Times New Roman" w:hAnsi="Times New Roman"/>
          <w:sz w:val="24"/>
          <w:szCs w:val="24"/>
        </w:rPr>
        <w:t xml:space="preserve">1, в частности на роль его </w:t>
      </w:r>
      <w:proofErr w:type="spellStart"/>
      <w:r>
        <w:rPr>
          <w:rFonts w:ascii="Times New Roman" w:hAnsi="Times New Roman"/>
          <w:sz w:val="24"/>
          <w:szCs w:val="24"/>
        </w:rPr>
        <w:t>димеризации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и вклад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>-концевых доменов во взаимодействие с микротрубочкой.</w:t>
      </w:r>
    </w:p>
    <w:p w:rsidR="00DF69FD" w:rsidRDefault="00DF69FD" w:rsidP="00DF69F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F69FD" w:rsidRPr="00DF69FD" w:rsidRDefault="00DF69FD" w:rsidP="00DF69F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</w:t>
      </w: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  <w:lang w:val="en-US"/>
        </w:rPr>
      </w:pPr>
      <w:r w:rsidRPr="00BE02A9">
        <w:rPr>
          <w:rFonts w:ascii="Times New Roman" w:hAnsi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Komarova</w:t>
      </w:r>
      <w:proofErr w:type="spellEnd"/>
      <w:r w:rsidRPr="00BE02A9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Y</w:t>
      </w:r>
      <w:r w:rsidRPr="00BE02A9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>et</w:t>
      </w:r>
      <w:r w:rsidRPr="00BE02A9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al</w:t>
      </w:r>
      <w:r w:rsidRPr="00BE02A9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Mammalian end binding proteins control persistent microtubule growth //The Journal of cell biology. – 2009.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  <w:lang w:val="en-US"/>
        </w:rPr>
        <w:t>. 184.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– №. 5. –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  <w:lang w:val="en-US"/>
        </w:rPr>
        <w:t>. 691-706.</w:t>
      </w:r>
    </w:p>
    <w:p w:rsidR="00DF69FD" w:rsidRDefault="00DF69FD" w:rsidP="00DF69FD">
      <w:pPr>
        <w:tabs>
          <w:tab w:val="left" w:pos="284"/>
        </w:tabs>
        <w:spacing w:line="240" w:lineRule="auto"/>
        <w:ind w:firstLine="397"/>
        <w:jc w:val="both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I. et al. End binding proteins are obligatory dimers //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PloS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one. – 2013.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– Т. 8.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– №. 9. – С. e74448.</w:t>
      </w:r>
    </w:p>
    <w:p w:rsidR="00DF69FD" w:rsidRDefault="00DF69FD" w:rsidP="00DF69FD">
      <w:pPr>
        <w:spacing w:line="240" w:lineRule="auto"/>
        <w:ind w:firstLine="397"/>
        <w:rPr>
          <w:rFonts w:ascii="Times New Roman" w:hAnsi="Times New Roman"/>
          <w:b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DF69FD" w:rsidRDefault="00DF69FD" w:rsidP="00DF69FD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4772D2" w:rsidRDefault="004772D2"/>
    <w:sectPr w:rsidR="004772D2" w:rsidSect="00DF69FD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9FD"/>
    <w:rsid w:val="00177FF3"/>
    <w:rsid w:val="004772D2"/>
    <w:rsid w:val="00BE02A9"/>
    <w:rsid w:val="00D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9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69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9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6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urtazina.alina@physics.ms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585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2</cp:revision>
  <dcterms:created xsi:type="dcterms:W3CDTF">2017-02-28T22:09:00Z</dcterms:created>
  <dcterms:modified xsi:type="dcterms:W3CDTF">2017-02-28T22:25:00Z</dcterms:modified>
</cp:coreProperties>
</file>