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“Шинель” Н</w:t>
      </w:r>
      <w:r>
        <w:rPr>
          <w:rFonts w:ascii="Times New Roman" w:hAnsi="Times New Roman"/>
          <w:sz w:val="24"/>
          <w:szCs w:val="24"/>
          <w:rtl w:val="0"/>
          <w:lang w:val="ru-RU"/>
        </w:rPr>
        <w:t>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Гоголя  как «претекст» романа И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Ильфа и Е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Петрова “Двенадцать стульев” </w:t>
      </w:r>
      <w:r>
        <w:rPr>
          <w:rFonts w:ascii="Times New Roman" w:hAnsi="Times New Roman"/>
          <w:sz w:val="24"/>
          <w:szCs w:val="24"/>
          <w:rtl w:val="0"/>
          <w:lang w:val="ru-RU"/>
        </w:rPr>
        <w:t>(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мистические мотивы и квазидемонические герои</w:t>
      </w:r>
      <w:r>
        <w:rPr>
          <w:rFonts w:ascii="Times New Roman" w:hAnsi="Times New Roman"/>
          <w:sz w:val="24"/>
          <w:szCs w:val="24"/>
          <w:rtl w:val="0"/>
          <w:lang w:val="ru-RU"/>
        </w:rPr>
        <w:t>)</w:t>
      </w:r>
    </w:p>
    <w:p>
      <w:pPr>
        <w:pStyle w:val="Текстовый блок A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Шанурина Маргарита Евгеньевна</w:t>
      </w:r>
    </w:p>
    <w:p>
      <w:pPr>
        <w:pStyle w:val="Текстовый блок A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Студентка Московского Государственного Университета имени Ломоносова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Москва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Россия</w:t>
      </w:r>
    </w:p>
    <w:p>
      <w:pPr>
        <w:pStyle w:val="Normal.0"/>
        <w:tabs>
          <w:tab w:val="left" w:pos="6090"/>
        </w:tabs>
        <w:rPr>
          <w:lang w:val="ru-RU"/>
        </w:rPr>
      </w:pPr>
      <w:r>
        <w:rPr>
          <w:lang w:val="ru-RU"/>
        </w:rPr>
        <w:tab/>
      </w:r>
    </w:p>
    <w:p>
      <w:pPr>
        <w:pStyle w:val="Normal.0"/>
        <w:ind w:left="709" w:firstLine="0"/>
        <w:jc w:val="both"/>
        <w:rPr>
          <w:lang w:val="ru-RU"/>
        </w:rPr>
      </w:pPr>
      <w:r>
        <w:rPr>
          <w:rtl w:val="0"/>
          <w:lang w:val="ru-RU"/>
        </w:rPr>
        <w:t xml:space="preserve">Имена Ильи Ильфа и Евгения Петрова нечасто называют в числе наследников </w:t>
      </w: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Н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Гоголя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Тем не менее гротескный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странный и даже зловещий мир их произведений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котором скелеты падают на людей в темноте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гробовых дел мастера ходят за потенциальными клиентами по пятам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рисован гоголевскими красками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Одной из немногих работ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которых отмечается параллель между Гоголем и авторами «Двенадцати стульев»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является научный комментарий Ю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Щеглова к этому роману Ильфа и Петрова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Но даже здесь сходство “Шинели” с “Двенадцатью стульями” не рассматривается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Таким образом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цель нашего исследования ‒ восполнить эту лакуну и провести сопоставительный анализ  отдельных глав упомянутого романа  с повестью Гоголя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данном случае выявление интертекстуальных связей с опорой на такие теоретические категории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как “мотив” и “персонаж”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позволит не только соотнести образы героев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Башмачкин и Воробьянинов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Петрович и Безенчук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но и уточнить наши представления о литературном генезисе произведения Ильфа и Петрова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свою очередь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представляет уже не историко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литературную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текстологическую ценность</w:t>
      </w:r>
      <w:r>
        <w:rPr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</w:pPr>
      <w:r>
        <w:rPr>
          <w:rtl w:val="0"/>
          <w:lang w:val="ru-RU"/>
        </w:rPr>
        <w:t>Первые главы романа Ильфа и Петрова во многом напоминают повесть «Шинель»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 центре изображаемого абсурдного мира в обоих случаях находится заурядный мелкий чиновник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живущий без особенных радостей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Ипполит Матвеевич в действительности обладает очевидным сходством с Башмачкиным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он одержим своей работой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подвергается насмешкам со стороны сослуживцев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или иначе оказывается связан с миром мистики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представая в романе как призрак царской России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чей рабочий день протекает за столом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похожим “на старую надгробную плиту”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Ильф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Петров</w:t>
      </w:r>
      <w:r>
        <w:rPr>
          <w:rtl w:val="0"/>
          <w:lang w:val="ru-RU"/>
        </w:rPr>
        <w:t xml:space="preserve">: 6]. </w:t>
      </w:r>
      <w:r>
        <w:rPr>
          <w:rtl w:val="0"/>
          <w:lang w:val="ru-RU"/>
        </w:rPr>
        <w:t>Кажется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Акакий Акакиевич уже на свет появляется призраком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Ипполит Матвеевич становится им после революции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 Башмачкин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Воробьянинов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используя слова Бендера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страдают «организационным бессилием и бледной немочью»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Там же</w:t>
      </w:r>
      <w:r>
        <w:rPr>
          <w:rtl w:val="0"/>
          <w:lang w:val="ru-RU"/>
        </w:rPr>
        <w:t xml:space="preserve">: 186]: </w:t>
      </w:r>
      <w:r>
        <w:rPr>
          <w:rtl w:val="0"/>
          <w:lang w:val="ru-RU"/>
        </w:rPr>
        <w:t>они совершенно беспомощны в том мире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в котором оказались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Акакий Акакиевич лишается подруги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шинели и не может вернуть 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Воробьянинов не может помочь Бендеру — обычно он только портит “концессию”</w:t>
      </w:r>
      <w:r>
        <w:rPr>
          <w:rtl w:val="0"/>
          <w:lang w:val="ru-RU"/>
        </w:rPr>
        <w:t xml:space="preserve">). </w:t>
      </w:r>
      <w:r>
        <w:rPr>
          <w:rtl w:val="0"/>
          <w:lang w:val="ru-RU"/>
        </w:rPr>
        <w:t>Складывается впечатление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что герои живут в своеобразном мистическом темном вакууме </w:t>
      </w:r>
      <w:r>
        <w:rPr>
          <w:rtl w:val="0"/>
          <w:lang w:val="ru-RU"/>
        </w:rPr>
        <w:t>(</w:t>
      </w:r>
      <w:r>
        <w:rPr>
          <w:rtl w:val="0"/>
          <w:lang w:val="fr-FR"/>
        </w:rPr>
        <w:t>«</w:t>
      </w:r>
      <w:r>
        <w:rPr>
          <w:rtl w:val="0"/>
          <w:lang w:val="ru-RU"/>
        </w:rPr>
        <w:t xml:space="preserve">Он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Башмачкин</w:t>
      </w:r>
      <w:r>
        <w:rPr>
          <w:rtl w:val="0"/>
          <w:lang w:val="ru-RU"/>
        </w:rPr>
        <w:t xml:space="preserve">] </w:t>
      </w:r>
      <w:r>
        <w:rPr>
          <w:rtl w:val="0"/>
          <w:lang w:val="ru-RU"/>
        </w:rPr>
        <w:t>оглянулся назад и по сторонам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точно море вокруг него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“Нет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лучше и не глядеть”…»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Гоголь</w:t>
      </w:r>
      <w:r>
        <w:rPr>
          <w:rtl w:val="0"/>
          <w:lang w:val="ru-RU"/>
        </w:rPr>
        <w:t xml:space="preserve">: 161]; </w:t>
      </w:r>
      <w:r>
        <w:rPr>
          <w:rtl w:val="0"/>
          <w:lang w:val="ru-RU"/>
        </w:rPr>
        <w:t xml:space="preserve">«он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Воробьянинов</w:t>
      </w:r>
      <w:r>
        <w:rPr>
          <w:rtl w:val="0"/>
          <w:lang w:val="ru-RU"/>
        </w:rPr>
        <w:t xml:space="preserve">] </w:t>
      </w:r>
      <w:r>
        <w:rPr>
          <w:rtl w:val="0"/>
          <w:lang w:val="ru-RU"/>
        </w:rPr>
        <w:t>выходил из полутемного домика на … улицу… По левую руку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 волнистыми зеленоватыми стеклами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серебрились гробы похоронного бюро “Нимфа”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Справа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 маленькими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обвалившейся замазкой окнами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угрюмо возлежали дубовые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пыльные и скучные гроба гробовых дел мастера Безенчука» </w:t>
      </w:r>
      <w:r>
        <w:rPr>
          <w:rtl w:val="0"/>
          <w:lang w:val="ru-RU"/>
        </w:rPr>
        <w:t>[</w:t>
      </w:r>
      <w:r>
        <w:rPr>
          <w:rtl w:val="0"/>
          <w:lang w:val="ru-RU"/>
        </w:rPr>
        <w:t>Ильф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Петров</w:t>
      </w:r>
      <w:r>
        <w:rPr>
          <w:rtl w:val="0"/>
          <w:lang w:val="ru-RU"/>
        </w:rPr>
        <w:t xml:space="preserve">: 5]) </w:t>
      </w:r>
      <w:r>
        <w:rPr>
          <w:rtl w:val="0"/>
          <w:lang w:val="ru-RU"/>
        </w:rPr>
        <w:t>и в любой момент могут встретить какую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нибудь сомнительную личность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Квазидемонические персонажи часто встречаются как в “Шинели”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 в “Двенадцати стульях”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Из ниоткуда перед Башмачкиным появляются какие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то люди с усами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громовым голосом предъявляют права на шинель и дают пинка коленом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Безенчук с желтыми глазами преследует Ипполита Матвеевича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справляется о состоянии тещи и с горечью желает ей «здоровьичка»</w:t>
      </w:r>
      <w:r>
        <w:rPr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Воры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отобравшие у Башмачкина шинель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конечно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не призраки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хотя позднее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после смерти Акакия Акакиевича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именно этих грабителей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вероятно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принимают за призрака переписчика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то есть они как будто перенимают роль привидения на себя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но тем не менее некоторый мистический колорит в эпизоде кражи прослеживается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пустынная улица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ночной мрак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внезапно нападение таинственных личностей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появившихся из темноты</w:t>
      </w:r>
      <w:r>
        <w:rPr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Еще один важный для проводимого сопоставления персонаж ‒ Петрович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который помогает Акакию Акакиевичу сшить шинель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Странность есть уже в краткой характеристике героя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он был хорошим портным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несмотря на рябизну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Казалось бы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причем здесь рябизна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Как она влияет на работу с одеждой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Эта абсурдность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даже таинственность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привносит в портрет Петровича темные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таинственные краски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делая мистическим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Кроме того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интерьер в доме героя напоминает убежище «нечистой силы»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преобладают темные тона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везде грязь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Сам портной сидит по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турецки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такая деталь не случайна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герой сидит как турок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не как христианин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вызывает ассоциации с «дьявольщиной»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в клубах дыма и на шее вместо креста носит лоскуты ткани</w:t>
      </w:r>
      <w:r>
        <w:rPr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Не лишен демонических черт и «преследователь» Ипполита Матвеевича — гробовых дел мастер Безенчук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Странный цвет глаз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желтый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говорится также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в глазах героя горел неугасимый огонь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делает его портрет довольно зловещим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Имеет значение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герой — гробовщик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а  клиенты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которым он рад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над конторой висит табличка «милости просим»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>— покойники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Фамилия персонажа также рождает совершенно отчетливые ассоциации со словом «бес»</w:t>
      </w:r>
      <w:r>
        <w:rPr>
          <w:rtl w:val="0"/>
          <w:lang w:val="ru-RU"/>
        </w:rPr>
        <w:t>.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Ипполит Матвеевич живет в подобии Некрополиса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в городе очень много погребальных контор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Непосредственно рядом с Воробьяниновым появляются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помимо Безенчука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еще три гробовщика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которые именуются «нимфами»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возникающие здесь языческие мотивы — очередное напоминание о «нечистой силе»</w:t>
      </w:r>
      <w:r>
        <w:rPr>
          <w:rtl w:val="0"/>
          <w:lang w:val="ru-RU"/>
        </w:rPr>
        <w:t xml:space="preserve">).  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Как видно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Башмачкин и Акакий Акакиевич существуют в своеобразной мистической реальности и притягивают к себе разных квазидемонических героев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оказываются тесно связанными с разного рода “дьявольщиной”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Именно мистические мотивы как в повести “Шинель”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так и в романе “Двенадцать стульев” оказываются одними из основных</w:t>
      </w:r>
      <w:r>
        <w:rPr>
          <w:rtl w:val="0"/>
          <w:lang w:val="ru-RU"/>
        </w:rPr>
        <w:t xml:space="preserve">. </w:t>
      </w:r>
    </w:p>
    <w:p>
      <w:pPr>
        <w:pStyle w:val="Normal.0"/>
        <w:ind w:firstLine="709"/>
        <w:jc w:val="both"/>
        <w:rPr>
          <w:lang w:val="ru-RU"/>
        </w:rPr>
      </w:pPr>
      <w:r>
        <w:rPr>
          <w:rtl w:val="0"/>
          <w:lang w:val="ru-RU"/>
        </w:rPr>
        <w:t>Сопоставительный анализ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который будет представлен в докладе более детально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позволит помимо характеристики мотивной структуры и образов персонажей романа полнее рассмотреть его художественное пространство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которое также обладает ярко выраженными  «гоголевскими» чертами</w:t>
      </w:r>
      <w:r>
        <w:rPr>
          <w:rtl w:val="0"/>
          <w:lang w:val="ru-RU"/>
        </w:rPr>
        <w:t>.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lang w:val="ru-RU"/>
        </w:rPr>
      </w:pPr>
      <w:r>
        <w:rPr>
          <w:rtl w:val="0"/>
          <w:lang w:val="ru-RU"/>
        </w:rPr>
        <w:t>Список литературы</w:t>
      </w:r>
    </w:p>
    <w:p>
      <w:pPr>
        <w:pStyle w:val="Normal.0"/>
        <w:jc w:val="both"/>
        <w:rPr>
          <w:lang w:val="ru-RU"/>
        </w:rPr>
      </w:pPr>
    </w:p>
    <w:p>
      <w:pPr>
        <w:pStyle w:val="Normal.0"/>
        <w:jc w:val="both"/>
        <w:rPr>
          <w:rStyle w:val="Hyperlink.0"/>
          <w:lang w:val="ru-RU"/>
        </w:rPr>
      </w:pPr>
      <w:r>
        <w:rPr>
          <w:i w:val="1"/>
          <w:iCs w:val="1"/>
          <w:rtl w:val="0"/>
          <w:lang w:val="ru-RU"/>
        </w:rPr>
        <w:t>Гоголь Н</w:t>
      </w:r>
      <w:r>
        <w:rPr>
          <w:i w:val="1"/>
          <w:iCs w:val="1"/>
          <w:rtl w:val="0"/>
          <w:lang w:val="ru-RU"/>
        </w:rPr>
        <w:t>.</w:t>
      </w:r>
      <w:r>
        <w:rPr>
          <w:i w:val="1"/>
          <w:iCs w:val="1"/>
          <w:rtl w:val="0"/>
          <w:lang w:val="ru-RU"/>
        </w:rPr>
        <w:t> В</w:t>
      </w:r>
      <w:r>
        <w:rPr>
          <w:i w:val="1"/>
          <w:iCs w:val="1"/>
          <w:rtl w:val="0"/>
          <w:lang w:val="ru-RU"/>
        </w:rPr>
        <w:t>.</w:t>
      </w:r>
      <w:r>
        <w:rPr>
          <w:rtl w:val="0"/>
          <w:lang w:val="ru-RU"/>
        </w:rPr>
        <w:t xml:space="preserve"> </w:t>
      </w:r>
      <w:r>
        <w:rPr>
          <w:rStyle w:val="Hyperlink.0"/>
          <w:lang w:val="ru-RU"/>
        </w:rPr>
        <w:fldChar w:fldCharType="begin" w:fldLock="0"/>
      </w:r>
      <w:r>
        <w:rPr>
          <w:rStyle w:val="Hyperlink.0"/>
          <w:lang w:val="ru-RU"/>
        </w:rPr>
        <w:instrText xml:space="preserve"> HYPERLINK "http://feb-web.ru/feb/gogol/texts/ps0/ps3/ps3-139-.htm"</w:instrText>
      </w:r>
      <w:r>
        <w:rPr>
          <w:rStyle w:val="Hyperlink.0"/>
          <w:lang w:val="ru-RU"/>
        </w:rPr>
        <w:fldChar w:fldCharType="separate" w:fldLock="0"/>
      </w:r>
      <w:r>
        <w:rPr>
          <w:rStyle w:val="Hyperlink.0"/>
          <w:rtl w:val="0"/>
          <w:lang w:val="ru-RU"/>
        </w:rPr>
        <w:t>Полное собрание сочинений</w:t>
      </w:r>
      <w:r>
        <w:rPr>
          <w:rStyle w:val="Hyperlink.0"/>
          <w:rtl w:val="0"/>
          <w:lang w:val="ru-RU"/>
        </w:rPr>
        <w:t xml:space="preserve">: </w:t>
      </w:r>
      <w:r>
        <w:rPr>
          <w:rStyle w:val="Hyperlink.0"/>
          <w:rtl w:val="0"/>
          <w:lang w:val="ru-RU"/>
        </w:rPr>
        <w:t>В </w:t>
      </w:r>
      <w:r>
        <w:rPr>
          <w:rStyle w:val="Hyperlink.0"/>
          <w:rtl w:val="0"/>
          <w:lang w:val="ru-RU"/>
        </w:rPr>
        <w:t xml:space="preserve">14 </w:t>
      </w:r>
      <w:r>
        <w:rPr>
          <w:rStyle w:val="Hyperlink.0"/>
          <w:rtl w:val="0"/>
          <w:lang w:val="ru-RU"/>
        </w:rPr>
        <w:t>т</w:t>
      </w:r>
      <w:r>
        <w:rPr>
          <w:lang w:val="ru-RU"/>
        </w:rPr>
        <w:fldChar w:fldCharType="end" w:fldLock="0"/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Т</w:t>
      </w:r>
      <w:r>
        <w:rPr>
          <w:rStyle w:val="Hyperlink.0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> </w:t>
      </w:r>
      <w:r>
        <w:rPr>
          <w:rStyle w:val="Hyperlink.0"/>
          <w:rtl w:val="0"/>
          <w:lang w:val="ru-RU"/>
        </w:rPr>
        <w:t xml:space="preserve">3. </w:t>
      </w:r>
      <w:r>
        <w:rPr>
          <w:rStyle w:val="Hyperlink.0"/>
          <w:rtl w:val="0"/>
          <w:lang w:val="ru-RU"/>
        </w:rPr>
        <w:t>Повести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М</w:t>
      </w:r>
      <w:r>
        <w:rPr>
          <w:rStyle w:val="Hyperlink.0"/>
          <w:rtl w:val="0"/>
          <w:lang w:val="ru-RU"/>
        </w:rPr>
        <w:t xml:space="preserve">.; </w:t>
      </w:r>
      <w:r>
        <w:rPr>
          <w:rStyle w:val="Hyperlink.0"/>
          <w:rtl w:val="0"/>
          <w:lang w:val="ru-RU"/>
        </w:rPr>
        <w:t>Л</w:t>
      </w:r>
      <w:r>
        <w:rPr>
          <w:rStyle w:val="Hyperlink.0"/>
          <w:rtl w:val="0"/>
          <w:lang w:val="ru-RU"/>
        </w:rPr>
        <w:t>., 1938.</w:t>
      </w:r>
      <w:r>
        <w:rPr>
          <w:rStyle w:val="Hyperlink.0"/>
          <w:rtl w:val="0"/>
          <w:lang w:val="ru-RU"/>
        </w:rPr>
        <w:t> </w:t>
      </w:r>
    </w:p>
    <w:p>
      <w:pPr>
        <w:pStyle w:val="Normal.0"/>
        <w:jc w:val="both"/>
      </w:pPr>
      <w:r>
        <w:rPr>
          <w:rStyle w:val="Нет"/>
          <w:i w:val="1"/>
          <w:iCs w:val="1"/>
          <w:rtl w:val="0"/>
          <w:lang w:val="ru-RU"/>
        </w:rPr>
        <w:t>Ильф И</w:t>
      </w:r>
      <w:r>
        <w:rPr>
          <w:rStyle w:val="Нет"/>
          <w:i w:val="1"/>
          <w:iCs w:val="1"/>
          <w:rtl w:val="0"/>
          <w:lang w:val="ru-RU"/>
        </w:rPr>
        <w:t xml:space="preserve">. </w:t>
      </w:r>
      <w:r>
        <w:rPr>
          <w:rStyle w:val="Нет"/>
          <w:i w:val="1"/>
          <w:iCs w:val="1"/>
          <w:rtl w:val="0"/>
          <w:lang w:val="ru-RU"/>
        </w:rPr>
        <w:t>А</w:t>
      </w:r>
      <w:r>
        <w:rPr>
          <w:rStyle w:val="Нет"/>
          <w:i w:val="1"/>
          <w:iCs w:val="1"/>
          <w:rtl w:val="0"/>
          <w:lang w:val="ru-RU"/>
        </w:rPr>
        <w:t xml:space="preserve">., </w:t>
      </w:r>
      <w:r>
        <w:rPr>
          <w:rStyle w:val="Нет"/>
          <w:i w:val="1"/>
          <w:iCs w:val="1"/>
          <w:rtl w:val="0"/>
          <w:lang w:val="ru-RU"/>
        </w:rPr>
        <w:t>Петров Е</w:t>
      </w:r>
      <w:r>
        <w:rPr>
          <w:rStyle w:val="Нет"/>
          <w:i w:val="1"/>
          <w:iCs w:val="1"/>
          <w:rtl w:val="0"/>
          <w:lang w:val="ru-RU"/>
        </w:rPr>
        <w:t xml:space="preserve">. </w:t>
      </w:r>
      <w:r>
        <w:rPr>
          <w:rStyle w:val="Нет"/>
          <w:i w:val="1"/>
          <w:iCs w:val="1"/>
          <w:rtl w:val="0"/>
          <w:lang w:val="ru-RU"/>
        </w:rPr>
        <w:t>П</w:t>
      </w:r>
      <w:r>
        <w:rPr>
          <w:rStyle w:val="Нет"/>
          <w:i w:val="1"/>
          <w:iCs w:val="1"/>
          <w:rtl w:val="0"/>
          <w:lang w:val="ru-RU"/>
        </w:rPr>
        <w:t>.</w:t>
      </w:r>
      <w:r>
        <w:rPr>
          <w:rStyle w:val="Hyperlink.0"/>
          <w:rtl w:val="0"/>
          <w:lang w:val="ru-RU"/>
        </w:rPr>
        <w:t xml:space="preserve"> Двенадцать стульев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Hyperlink.0"/>
          <w:rtl w:val="0"/>
          <w:lang w:val="ru-RU"/>
        </w:rPr>
        <w:t>Золотой теленок</w:t>
      </w:r>
      <w:r>
        <w:rPr>
          <w:rStyle w:val="Hyperlink.0"/>
          <w:rtl w:val="0"/>
          <w:lang w:val="ru-RU"/>
        </w:rPr>
        <w:t xml:space="preserve">. </w:t>
      </w:r>
      <w:r>
        <w:rPr>
          <w:rStyle w:val="Нет"/>
          <w:rtl w:val="0"/>
          <w:lang w:val="en-US"/>
        </w:rPr>
        <w:t>М</w:t>
      </w:r>
      <w:r>
        <w:rPr>
          <w:rStyle w:val="Hyperlink.0"/>
          <w:rtl w:val="0"/>
          <w:lang w:val="ru-RU"/>
        </w:rPr>
        <w:t>., 1998.</w:t>
      </w:r>
      <w:r/>
    </w:p>
    <w:sectPr>
      <w:headerReference w:type="default" r:id="rId4"/>
      <w:footerReference w:type="default" r:id="rId5"/>
      <w:pgSz w:w="11900" w:h="16840" w:orient="portrait"/>
      <w:pgMar w:top="1134" w:right="1418" w:bottom="1134" w:left="1418" w:header="709" w:footer="85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