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15" w:rsidRDefault="00E74115" w:rsidP="00E74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15">
        <w:rPr>
          <w:rFonts w:ascii="Times New Roman" w:hAnsi="Times New Roman" w:cs="Times New Roman"/>
          <w:b/>
          <w:sz w:val="24"/>
          <w:szCs w:val="24"/>
        </w:rPr>
        <w:t>Миграция населения по территории России</w:t>
      </w:r>
    </w:p>
    <w:p w:rsidR="00E74115" w:rsidRPr="00E67005" w:rsidRDefault="00E74115" w:rsidP="00E74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005">
        <w:rPr>
          <w:rFonts w:ascii="Times New Roman" w:hAnsi="Times New Roman" w:cs="Times New Roman"/>
          <w:i/>
          <w:sz w:val="24"/>
          <w:szCs w:val="24"/>
        </w:rPr>
        <w:t>Ларионова</w:t>
      </w:r>
      <w:r w:rsidR="00E67005" w:rsidRPr="00E67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005">
        <w:rPr>
          <w:rFonts w:ascii="Times New Roman" w:hAnsi="Times New Roman" w:cs="Times New Roman"/>
          <w:i/>
          <w:sz w:val="24"/>
          <w:szCs w:val="24"/>
        </w:rPr>
        <w:t xml:space="preserve"> М.В.</w:t>
      </w:r>
    </w:p>
    <w:p w:rsidR="00E67005" w:rsidRPr="00E67005" w:rsidRDefault="00E67005" w:rsidP="00E74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005">
        <w:rPr>
          <w:rFonts w:ascii="Times New Roman" w:hAnsi="Times New Roman" w:cs="Times New Roman"/>
          <w:i/>
          <w:sz w:val="24"/>
          <w:szCs w:val="24"/>
        </w:rPr>
        <w:t>Студентка</w:t>
      </w:r>
    </w:p>
    <w:p w:rsidR="00E67005" w:rsidRDefault="00E67005" w:rsidP="00E74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Белгородский государственный университет</w:t>
      </w:r>
    </w:p>
    <w:p w:rsidR="00E67005" w:rsidRPr="00E67005" w:rsidRDefault="00E67005" w:rsidP="00E74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институт экономики,</w:t>
      </w:r>
      <w:r w:rsidRPr="00E67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63DD">
        <w:rPr>
          <w:rFonts w:ascii="Times New Roman" w:hAnsi="Times New Roman" w:cs="Times New Roman"/>
          <w:i/>
          <w:sz w:val="24"/>
          <w:szCs w:val="24"/>
        </w:rPr>
        <w:t>Белгород, Росс</w:t>
      </w:r>
      <w:r>
        <w:rPr>
          <w:rFonts w:ascii="Times New Roman" w:hAnsi="Times New Roman" w:cs="Times New Roman"/>
          <w:i/>
          <w:sz w:val="24"/>
          <w:szCs w:val="24"/>
        </w:rPr>
        <w:t>ия</w:t>
      </w:r>
    </w:p>
    <w:p w:rsidR="00E67005" w:rsidRPr="00E67005" w:rsidRDefault="00D863DD" w:rsidP="00E74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863D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E67005" w:rsidRPr="00E67005">
        <w:rPr>
          <w:rFonts w:ascii="Times New Roman" w:hAnsi="Times New Roman" w:cs="Times New Roman"/>
          <w:i/>
          <w:sz w:val="24"/>
          <w:szCs w:val="24"/>
          <w:lang w:val="en-US"/>
        </w:rPr>
        <w:t>larionowa</w:t>
      </w:r>
      <w:proofErr w:type="spellEnd"/>
      <w:r w:rsidR="00E67005" w:rsidRPr="00E67005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67005" w:rsidRPr="00E67005">
        <w:rPr>
          <w:rFonts w:ascii="Times New Roman" w:hAnsi="Times New Roman" w:cs="Times New Roman"/>
          <w:i/>
          <w:sz w:val="24"/>
          <w:szCs w:val="24"/>
          <w:lang w:val="en-US"/>
        </w:rPr>
        <w:t>marisha</w:t>
      </w:r>
      <w:proofErr w:type="spellEnd"/>
      <w:r w:rsidR="00E67005" w:rsidRPr="00E67005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E67005" w:rsidRPr="00E67005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="00E67005" w:rsidRPr="00E6700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E67005" w:rsidRPr="00E6700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E67005" w:rsidRPr="00E67005" w:rsidRDefault="00E74115" w:rsidP="00E6700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 xml:space="preserve">Миграция населения (лат. </w:t>
      </w:r>
      <w:proofErr w:type="spellStart"/>
      <w:r w:rsidRPr="00E74115">
        <w:rPr>
          <w:rFonts w:ascii="Times New Roman" w:hAnsi="Times New Roman" w:cs="Times New Roman"/>
          <w:sz w:val="24"/>
          <w:szCs w:val="24"/>
        </w:rPr>
        <w:t>migratio</w:t>
      </w:r>
      <w:proofErr w:type="spellEnd"/>
      <w:r w:rsidRPr="00E74115">
        <w:rPr>
          <w:rFonts w:ascii="Times New Roman" w:hAnsi="Times New Roman" w:cs="Times New Roman"/>
          <w:sz w:val="24"/>
          <w:szCs w:val="24"/>
        </w:rPr>
        <w:t xml:space="preserve"> -переселение) - перемещения людей через границы тех или иных территорий с переменой места жительства навсегда или на более или менее длительное время.  В узком смысле миграция населения представляет собой законченный вид территориального перемещения, завершающийся сменой постоянного места жительства, т.е. в буквальном смысле означает “переселение”. Миграция населения в широком значении слова - любое территориальное перемещение, совершающееся между разными населёнными пунктами одной или нескольких административно- территориальных единиц независимо от продолжительности, регулярности и целевой направленности</w:t>
      </w:r>
      <w:r w:rsidRPr="00E74115">
        <w:rPr>
          <w:rFonts w:ascii="Times New Roman" w:hAnsi="Times New Roman" w:cs="Times New Roman"/>
          <w:sz w:val="24"/>
          <w:szCs w:val="24"/>
        </w:rPr>
        <w:t>.</w:t>
      </w:r>
    </w:p>
    <w:p w:rsidR="00E67005" w:rsidRPr="00E67005" w:rsidRDefault="00E74115" w:rsidP="00E6700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>Миграционные процессы в России за минувший период определялись влиянием отрицательных и положительных факторов. К отрицательным факторам относятся распад бывшего Союза ССР, проявления национализма, терроризм, незащищенность отдельных участков государственной границы Российской Федерации, ухудшение качества жизни людей и состояния окружающей среды, экономическая нестабильность и социальные конфликты. В то же время к положительным факторам относятся демократизация общественно-политической жизни, реализация конституционного принципа свободы передвижения, развитие рыночных отношений и вхождение в международный рынок труда</w:t>
      </w:r>
      <w:r w:rsidR="00E67005" w:rsidRPr="00E67005">
        <w:rPr>
          <w:rFonts w:ascii="Times New Roman" w:hAnsi="Times New Roman" w:cs="Times New Roman"/>
          <w:sz w:val="24"/>
          <w:szCs w:val="24"/>
        </w:rPr>
        <w:t xml:space="preserve"> [3].</w:t>
      </w:r>
    </w:p>
    <w:p w:rsidR="00E67005" w:rsidRPr="00E67005" w:rsidRDefault="00E74115" w:rsidP="00E6700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>Сохраняется внутренняя миграция населения, связанная с неблагоприятной экологической обстановкой и стихийными бедствиями. Природные и техногенные катастрофы вызывают экстренное массовое переселение людей, что требует дополнительных усилий государства по решению их проблем.</w:t>
      </w:r>
    </w:p>
    <w:p w:rsidR="00E67005" w:rsidRPr="00E67005" w:rsidRDefault="00E74115" w:rsidP="00E6700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 xml:space="preserve">Современная миграционная ситуация в России является непосредственным отражением особенностей переживаемого этапа социально-экономического и политического развития страны. </w:t>
      </w:r>
    </w:p>
    <w:p w:rsidR="00E74115" w:rsidRPr="00E74115" w:rsidRDefault="00E74115" w:rsidP="00E6700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>В 2011 г. миграционная география России сохраняла уже установившиеся черты. Основную часть мигрантов аккумулировал Центральный федеральный округ (66,4%). Четыре других европейских округа (включая Урал), взятые вместе, получили значительно меньший (в 1,7 раза) прирост, чем один Центральный округ. Сибирь и Дальний Восток продолжали отдавать население, хотя их потери сокращаются. Для оценки миграционного прироста населения РФ обратимся к следующей диаграмме.</w:t>
      </w:r>
    </w:p>
    <w:p w:rsidR="00E74115" w:rsidRPr="00E74115" w:rsidRDefault="00E74115" w:rsidP="00E741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noProof/>
          <w:sz w:val="24"/>
          <w:szCs w:val="24"/>
        </w:rPr>
        <w:drawing>
          <wp:inline distT="0" distB="0" distL="0" distR="0" wp14:anchorId="3B8E46F1" wp14:editId="5C4464DD">
            <wp:extent cx="5114925" cy="20002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4115" w:rsidRPr="00E67005" w:rsidRDefault="00E74115" w:rsidP="00E7411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005">
        <w:rPr>
          <w:rFonts w:ascii="Times New Roman" w:hAnsi="Times New Roman" w:cs="Times New Roman"/>
          <w:sz w:val="24"/>
          <w:szCs w:val="24"/>
        </w:rPr>
        <w:t>Рис.1</w:t>
      </w:r>
      <w:r w:rsidRPr="00E74115">
        <w:rPr>
          <w:sz w:val="24"/>
          <w:szCs w:val="24"/>
        </w:rPr>
        <w:t xml:space="preserve"> </w:t>
      </w:r>
      <w:r w:rsidRPr="00E67005">
        <w:rPr>
          <w:rFonts w:ascii="Times New Roman" w:hAnsi="Times New Roman" w:cs="Times New Roman"/>
          <w:sz w:val="24"/>
          <w:szCs w:val="24"/>
        </w:rPr>
        <w:t>Миграционный прирост населения в РФ в 2011-2013 гг.</w:t>
      </w:r>
    </w:p>
    <w:p w:rsidR="00E67005" w:rsidRPr="00D863DD" w:rsidRDefault="00E74115" w:rsidP="00E67005">
      <w:pPr>
        <w:spacing w:before="100" w:beforeAutospacing="1" w:after="100" w:afterAutospacing="1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115">
        <w:rPr>
          <w:rFonts w:ascii="Times New Roman" w:hAnsi="Times New Roman" w:cs="Times New Roman"/>
          <w:sz w:val="24"/>
          <w:szCs w:val="24"/>
        </w:rPr>
        <w:t xml:space="preserve">Из рисунка 1 можно судить о том, что миграционный прирост населения на территории России в большей мере носит сезонный характер. Можно заметить, что увеличение числа мигрантов происходило преимущественно в период с сентября по </w:t>
      </w:r>
      <w:r w:rsidRPr="00E74115">
        <w:rPr>
          <w:rFonts w:ascii="Times New Roman" w:hAnsi="Times New Roman" w:cs="Times New Roman"/>
          <w:sz w:val="24"/>
          <w:szCs w:val="24"/>
        </w:rPr>
        <w:lastRenderedPageBreak/>
        <w:t>ноябрь и достигало максимального значения. Это происходит в связи притоком числа отдыхающих и числа работающего населения, возвращающихся на территорию России в связи с ух</w:t>
      </w:r>
      <w:r w:rsidR="00D863DD">
        <w:rPr>
          <w:rFonts w:ascii="Times New Roman" w:hAnsi="Times New Roman" w:cs="Times New Roman"/>
          <w:sz w:val="24"/>
          <w:szCs w:val="24"/>
        </w:rPr>
        <w:t>удшающимися погодными условиями</w:t>
      </w:r>
      <w:r w:rsidR="00D8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63DD" w:rsidRPr="00E74115">
        <w:rPr>
          <w:rFonts w:ascii="Times New Roman" w:hAnsi="Times New Roman" w:cs="Times New Roman"/>
          <w:sz w:val="24"/>
          <w:szCs w:val="24"/>
        </w:rPr>
        <w:t>[</w:t>
      </w:r>
      <w:r w:rsidR="00D863D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63DD" w:rsidRPr="00E74115">
        <w:rPr>
          <w:rFonts w:ascii="Times New Roman" w:hAnsi="Times New Roman" w:cs="Times New Roman"/>
          <w:sz w:val="24"/>
          <w:szCs w:val="24"/>
        </w:rPr>
        <w:t>]</w:t>
      </w:r>
      <w:r w:rsidR="00D86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7005" w:rsidRDefault="00E74115" w:rsidP="00E67005">
      <w:pPr>
        <w:spacing w:before="100" w:beforeAutospacing="1" w:after="100" w:afterAutospacing="1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115">
        <w:rPr>
          <w:rFonts w:ascii="Times New Roman" w:hAnsi="Times New Roman" w:cs="Times New Roman"/>
          <w:sz w:val="24"/>
          <w:szCs w:val="24"/>
        </w:rPr>
        <w:t>Почти весь миграционный прирост в межрайонной внутренней миграции получают 10 наиболее привлекательных регионов страны — 93% в 2005—2007 гг. При этом Московская область и Москва приняли 28 и 26% внутренних мигрантов соответственно, а вместе — 54%.</w:t>
      </w:r>
      <w:proofErr w:type="gramStart"/>
      <w:r w:rsidRPr="00E741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4115">
        <w:rPr>
          <w:rFonts w:ascii="Times New Roman" w:hAnsi="Times New Roman" w:cs="Times New Roman"/>
          <w:sz w:val="24"/>
          <w:szCs w:val="24"/>
        </w:rPr>
        <w:t>Прил.1)</w:t>
      </w:r>
    </w:p>
    <w:p w:rsidR="00E67005" w:rsidRPr="00E67005" w:rsidRDefault="00E74115" w:rsidP="00E67005">
      <w:pPr>
        <w:spacing w:before="100" w:beforeAutospacing="1" w:after="100" w:afterAutospacing="1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>Центром притяжения общероссийского масштаба является также Санкт-Петербургская агломерация. Кроме того, на такую роль могут претендовать Краснодарский край и Белгородская область, а с некоторой оговоркой — Калининградская область и Ставропольский край. Мощными региональными лидерами являются Республика Татарстан, Свердловская, Самарская, Ярославская области. К региональным лидерам второго плана можно отнести Карелию, Волгоградскую, Саратовскую, Кемеровскую области, Хабаровский край. Подавляющее же большинство регионов России теряет население, причем потери по регионам распределяются довольно равномерно.</w:t>
      </w:r>
    </w:p>
    <w:p w:rsidR="00E74115" w:rsidRDefault="00E74115" w:rsidP="00E67005">
      <w:pPr>
        <w:spacing w:before="100" w:beforeAutospacing="1" w:after="100" w:afterAutospacing="1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>По результатам проведенного опроса о причине побудившей жителей России эмигрировать за рубеж были получены следующие результаты.</w:t>
      </w:r>
    </w:p>
    <w:p w:rsidR="00E74115" w:rsidRPr="00E74115" w:rsidRDefault="00E74115" w:rsidP="00E7411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564F6E3D" wp14:editId="4044EDEE">
            <wp:extent cx="5314950" cy="23526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4115" w:rsidRPr="00E74115" w:rsidRDefault="00E74115" w:rsidP="00E7411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>Рис.2 Результаты опроса о причине эмиграции из России</w:t>
      </w:r>
    </w:p>
    <w:p w:rsidR="00E74115" w:rsidRPr="00E74115" w:rsidRDefault="00E74115" w:rsidP="00E7411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>Источник: [</w:t>
      </w:r>
      <w:r w:rsidR="00D863D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74115">
        <w:rPr>
          <w:rFonts w:ascii="Times New Roman" w:hAnsi="Times New Roman" w:cs="Times New Roman"/>
          <w:sz w:val="24"/>
          <w:szCs w:val="24"/>
        </w:rPr>
        <w:t>]</w:t>
      </w:r>
    </w:p>
    <w:p w:rsidR="00E74115" w:rsidRPr="00E74115" w:rsidRDefault="00E74115" w:rsidP="00E67005">
      <w:pPr>
        <w:spacing w:before="100" w:beforeAutospacing="1" w:after="100" w:afterAutospacing="1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5">
        <w:rPr>
          <w:rFonts w:ascii="Times New Roman" w:hAnsi="Times New Roman" w:cs="Times New Roman"/>
          <w:sz w:val="24"/>
          <w:szCs w:val="24"/>
        </w:rPr>
        <w:t xml:space="preserve">Из России ежегодно эмигрируют десятки тысяч человек, и в основной массе это достаточно успешные люди, которые решили сменить страну проживания по той или иной причине. Вопрос эмиграции актуален для миллионов россиян: среди российского «среднего класса» хотят уехать из страны – 27%, в Москве эта цифра составляет – 41%. «Средний класс» по разным подсчётам составляет от 10% до 15% населения страны, т.е. от 14.300.000 до 21.450.000 человек. И, взяв по минимуму 25%, можно сказать, что от 3.575.000 до 5.362.500 россиян хотят и </w:t>
      </w:r>
      <w:proofErr w:type="gramStart"/>
      <w:r w:rsidRPr="00E74115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E74115">
        <w:rPr>
          <w:rFonts w:ascii="Times New Roman" w:hAnsi="Times New Roman" w:cs="Times New Roman"/>
          <w:sz w:val="24"/>
          <w:szCs w:val="24"/>
        </w:rPr>
        <w:t xml:space="preserve"> эмигрировать из России, то есть переехать в другую страну по экономическим, политическим или личным обстоятельствам. </w:t>
      </w:r>
    </w:p>
    <w:p w:rsidR="00E74115" w:rsidRPr="00E67005" w:rsidRDefault="00E67005" w:rsidP="00E6700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67005">
        <w:rPr>
          <w:rFonts w:ascii="Times New Roman" w:hAnsi="Times New Roman" w:cs="Times New Roman"/>
          <w:noProof/>
          <w:sz w:val="24"/>
          <w:szCs w:val="24"/>
        </w:rPr>
        <w:t>Литература</w:t>
      </w:r>
    </w:p>
    <w:p w:rsidR="005E27F5" w:rsidRDefault="00E67005" w:rsidP="00E6700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67005">
        <w:rPr>
          <w:sz w:val="24"/>
          <w:szCs w:val="24"/>
          <w:lang w:val="en-US"/>
        </w:rPr>
        <w:t>www</w:t>
      </w:r>
      <w:r w:rsidRPr="00E67005">
        <w:rPr>
          <w:sz w:val="24"/>
          <w:szCs w:val="24"/>
        </w:rPr>
        <w:t>.</w:t>
      </w:r>
      <w:proofErr w:type="spellStart"/>
      <w:r w:rsidRPr="00E67005">
        <w:rPr>
          <w:sz w:val="24"/>
          <w:szCs w:val="24"/>
          <w:lang w:val="en-US"/>
        </w:rPr>
        <w:t>gks</w:t>
      </w:r>
      <w:proofErr w:type="spellEnd"/>
      <w:r w:rsidRPr="00E67005">
        <w:rPr>
          <w:sz w:val="24"/>
          <w:szCs w:val="24"/>
        </w:rPr>
        <w:t>.</w:t>
      </w:r>
      <w:proofErr w:type="spellStart"/>
      <w:r w:rsidRPr="00E67005">
        <w:rPr>
          <w:sz w:val="24"/>
          <w:szCs w:val="24"/>
          <w:lang w:val="en-US"/>
        </w:rPr>
        <w:t>ru</w:t>
      </w:r>
      <w:proofErr w:type="spellEnd"/>
      <w:r w:rsidRPr="00E67005">
        <w:rPr>
          <w:sz w:val="24"/>
          <w:szCs w:val="24"/>
        </w:rPr>
        <w:t xml:space="preserve"> </w:t>
      </w:r>
      <w:r w:rsidR="005E27F5">
        <w:rPr>
          <w:sz w:val="24"/>
          <w:szCs w:val="24"/>
        </w:rPr>
        <w:t>(</w:t>
      </w:r>
      <w:r w:rsidR="005E27F5" w:rsidRPr="00E67005">
        <w:rPr>
          <w:sz w:val="24"/>
          <w:szCs w:val="24"/>
        </w:rPr>
        <w:t>Федеральная слу</w:t>
      </w:r>
      <w:r w:rsidR="005E27F5">
        <w:rPr>
          <w:sz w:val="24"/>
          <w:szCs w:val="24"/>
        </w:rPr>
        <w:t>жба государственной статистики России)</w:t>
      </w:r>
    </w:p>
    <w:p w:rsidR="00E67005" w:rsidRPr="00D863DD" w:rsidRDefault="00E67005" w:rsidP="00E6700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E67005">
        <w:rPr>
          <w:sz w:val="24"/>
          <w:szCs w:val="24"/>
        </w:rPr>
        <w:t>Воробьева О.Д. Миграционные процессы населения: вопросы теории и государственной мигра</w:t>
      </w:r>
      <w:r>
        <w:rPr>
          <w:sz w:val="24"/>
          <w:szCs w:val="24"/>
        </w:rPr>
        <w:t>ционной политики. //Социум. 200</w:t>
      </w:r>
      <w:r w:rsidRPr="005E27F5">
        <w:rPr>
          <w:sz w:val="24"/>
          <w:szCs w:val="24"/>
        </w:rPr>
        <w:t>9</w:t>
      </w:r>
      <w:r w:rsidRPr="00E67005">
        <w:rPr>
          <w:sz w:val="24"/>
          <w:szCs w:val="24"/>
        </w:rPr>
        <w:t>. -№ 9 (202).</w:t>
      </w:r>
    </w:p>
    <w:p w:rsidR="00D863DD" w:rsidRPr="00D863DD" w:rsidRDefault="00D863DD" w:rsidP="00D863DD">
      <w:pPr>
        <w:pStyle w:val="a5"/>
        <w:numPr>
          <w:ilvl w:val="0"/>
          <w:numId w:val="1"/>
        </w:numPr>
        <w:ind w:left="805" w:hanging="357"/>
        <w:jc w:val="both"/>
        <w:rPr>
          <w:sz w:val="24"/>
          <w:szCs w:val="24"/>
        </w:rPr>
      </w:pPr>
      <w:r w:rsidRPr="00D863DD">
        <w:rPr>
          <w:sz w:val="24"/>
          <w:szCs w:val="24"/>
        </w:rPr>
        <w:t xml:space="preserve">Костин Р.А., </w:t>
      </w:r>
      <w:proofErr w:type="spellStart"/>
      <w:r w:rsidRPr="00D863DD">
        <w:rPr>
          <w:sz w:val="24"/>
          <w:szCs w:val="24"/>
        </w:rPr>
        <w:t>Лухнов</w:t>
      </w:r>
      <w:proofErr w:type="spellEnd"/>
      <w:r w:rsidRPr="00D863DD">
        <w:rPr>
          <w:sz w:val="24"/>
          <w:szCs w:val="24"/>
        </w:rPr>
        <w:t xml:space="preserve"> А.Ю. Современные миграционные процессы и их тенденции в современном обществе // Регион: Политика. Экономика. Социология. - 2006. - № 3. - С.29-33.</w:t>
      </w:r>
    </w:p>
    <w:p w:rsidR="00E74115" w:rsidRPr="00D863DD" w:rsidRDefault="00E74115" w:rsidP="00E6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74115" w:rsidRPr="00D863DD" w:rsidSect="00E741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783D"/>
    <w:multiLevelType w:val="hybridMultilevel"/>
    <w:tmpl w:val="B9FC95B6"/>
    <w:lvl w:ilvl="0" w:tplc="3EBC027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B4"/>
    <w:rsid w:val="003C56B4"/>
    <w:rsid w:val="005E27F5"/>
    <w:rsid w:val="00A81EE1"/>
    <w:rsid w:val="00D863DD"/>
    <w:rsid w:val="00E67005"/>
    <w:rsid w:val="00E74115"/>
    <w:rsid w:val="00E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67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67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numRef>
              <c:f>Лист1!$A$2:$A$26</c:f>
              <c:numCache>
                <c:formatCode>mmm\-yy</c:formatCode>
                <c:ptCount val="25"/>
                <c:pt idx="0">
                  <c:v>40544</c:v>
                </c:pt>
                <c:pt idx="1">
                  <c:v>40575</c:v>
                </c:pt>
                <c:pt idx="2">
                  <c:v>40603</c:v>
                </c:pt>
                <c:pt idx="3">
                  <c:v>40634</c:v>
                </c:pt>
                <c:pt idx="4">
                  <c:v>40664</c:v>
                </c:pt>
                <c:pt idx="5">
                  <c:v>40695</c:v>
                </c:pt>
                <c:pt idx="6">
                  <c:v>40725</c:v>
                </c:pt>
                <c:pt idx="7">
                  <c:v>40756</c:v>
                </c:pt>
                <c:pt idx="8">
                  <c:v>40787</c:v>
                </c:pt>
                <c:pt idx="9">
                  <c:v>40817</c:v>
                </c:pt>
                <c:pt idx="10">
                  <c:v>40848</c:v>
                </c:pt>
                <c:pt idx="11">
                  <c:v>40878</c:v>
                </c:pt>
                <c:pt idx="12">
                  <c:v>40909</c:v>
                </c:pt>
                <c:pt idx="13">
                  <c:v>40940</c:v>
                </c:pt>
                <c:pt idx="14">
                  <c:v>41334</c:v>
                </c:pt>
                <c:pt idx="15">
                  <c:v>41000</c:v>
                </c:pt>
                <c:pt idx="16">
                  <c:v>41030</c:v>
                </c:pt>
                <c:pt idx="17">
                  <c:v>41061</c:v>
                </c:pt>
                <c:pt idx="18">
                  <c:v>41091</c:v>
                </c:pt>
                <c:pt idx="19">
                  <c:v>41122</c:v>
                </c:pt>
                <c:pt idx="20">
                  <c:v>41153</c:v>
                </c:pt>
                <c:pt idx="21">
                  <c:v>41183</c:v>
                </c:pt>
                <c:pt idx="22">
                  <c:v>41214</c:v>
                </c:pt>
                <c:pt idx="23">
                  <c:v>41244</c:v>
                </c:pt>
                <c:pt idx="24">
                  <c:v>41275</c:v>
                </c:pt>
              </c:numCache>
            </c:numRef>
          </c:cat>
          <c:val>
            <c:numRef>
              <c:f>Лист1!$B$2:$B$26</c:f>
              <c:numCache>
                <c:formatCode>#,##0</c:formatCode>
                <c:ptCount val="25"/>
                <c:pt idx="0">
                  <c:v>11384</c:v>
                </c:pt>
                <c:pt idx="1">
                  <c:v>14040</c:v>
                </c:pt>
                <c:pt idx="2">
                  <c:v>12840</c:v>
                </c:pt>
                <c:pt idx="3">
                  <c:v>14232</c:v>
                </c:pt>
                <c:pt idx="4">
                  <c:v>16203</c:v>
                </c:pt>
                <c:pt idx="5">
                  <c:v>16904</c:v>
                </c:pt>
                <c:pt idx="6">
                  <c:v>20031</c:v>
                </c:pt>
                <c:pt idx="7">
                  <c:v>18068</c:v>
                </c:pt>
                <c:pt idx="8">
                  <c:v>21168</c:v>
                </c:pt>
                <c:pt idx="9">
                  <c:v>23692</c:v>
                </c:pt>
                <c:pt idx="10">
                  <c:v>25259</c:v>
                </c:pt>
                <c:pt idx="11">
                  <c:v>20620</c:v>
                </c:pt>
                <c:pt idx="12">
                  <c:v>12976</c:v>
                </c:pt>
                <c:pt idx="13">
                  <c:v>12729</c:v>
                </c:pt>
                <c:pt idx="14">
                  <c:v>15459</c:v>
                </c:pt>
                <c:pt idx="15">
                  <c:v>15993</c:v>
                </c:pt>
                <c:pt idx="16">
                  <c:v>15645</c:v>
                </c:pt>
                <c:pt idx="17">
                  <c:v>19158</c:v>
                </c:pt>
                <c:pt idx="18">
                  <c:v>20982</c:v>
                </c:pt>
                <c:pt idx="19">
                  <c:v>19930</c:v>
                </c:pt>
                <c:pt idx="20">
                  <c:v>26105</c:v>
                </c:pt>
                <c:pt idx="21">
                  <c:v>28529</c:v>
                </c:pt>
                <c:pt idx="22">
                  <c:v>30938</c:v>
                </c:pt>
                <c:pt idx="23">
                  <c:v>21327</c:v>
                </c:pt>
                <c:pt idx="24">
                  <c:v>19239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51808"/>
        <c:axId val="63574784"/>
      </c:barChart>
      <c:dateAx>
        <c:axId val="2495180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63574784"/>
        <c:crosses val="autoZero"/>
        <c:auto val="1"/>
        <c:lblOffset val="100"/>
        <c:baseTimeUnit val="months"/>
      </c:dateAx>
      <c:valAx>
        <c:axId val="635747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951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Экология</c:v>
                </c:pt>
                <c:pt idx="1">
                  <c:v>Коррупция</c:v>
                </c:pt>
                <c:pt idx="2">
                  <c:v>Преступность</c:v>
                </c:pt>
                <c:pt idx="3">
                  <c:v>Климат</c:v>
                </c:pt>
                <c:pt idx="4">
                  <c:v>Работа и бизнес </c:v>
                </c:pt>
                <c:pt idx="5">
                  <c:v>Высокие цены </c:v>
                </c:pt>
                <c:pt idx="6">
                  <c:v>Социальная сфера </c:v>
                </c:pt>
                <c:pt idx="7">
                  <c:v>Бытовой комфорт </c:v>
                </c:pt>
                <c:pt idx="8">
                  <c:v>Будующее детей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 formatCode="0.00%">
                  <c:v>0.61109999999999998</c:v>
                </c:pt>
                <c:pt idx="1">
                  <c:v>0.5</c:v>
                </c:pt>
                <c:pt idx="2" formatCode="0.00%">
                  <c:v>0.63890000000000002</c:v>
                </c:pt>
                <c:pt idx="3" formatCode="0.00%">
                  <c:v>0.83330000000000004</c:v>
                </c:pt>
                <c:pt idx="4" formatCode="0.00%">
                  <c:v>0.1389</c:v>
                </c:pt>
                <c:pt idx="5" formatCode="0.00%">
                  <c:v>0.22220000000000001</c:v>
                </c:pt>
                <c:pt idx="6" formatCode="0.00%">
                  <c:v>0.38890000000000002</c:v>
                </c:pt>
                <c:pt idx="7" formatCode="0.00%">
                  <c:v>0.58330000000000004</c:v>
                </c:pt>
                <c:pt idx="8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486848"/>
        <c:axId val="70340608"/>
      </c:barChart>
      <c:catAx>
        <c:axId val="69486848"/>
        <c:scaling>
          <c:orientation val="minMax"/>
        </c:scaling>
        <c:delete val="0"/>
        <c:axPos val="l"/>
        <c:majorTickMark val="out"/>
        <c:minorTickMark val="none"/>
        <c:tickLblPos val="nextTo"/>
        <c:crossAx val="70340608"/>
        <c:crosses val="autoZero"/>
        <c:auto val="1"/>
        <c:lblAlgn val="ctr"/>
        <c:lblOffset val="100"/>
        <c:noMultiLvlLbl val="0"/>
      </c:catAx>
      <c:valAx>
        <c:axId val="70340608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69486848"/>
        <c:crosses val="autoZero"/>
        <c:crossBetween val="between"/>
        <c:maj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2014-02-25T21:11:00Z</dcterms:created>
  <dcterms:modified xsi:type="dcterms:W3CDTF">2014-02-25T21:11:00Z</dcterms:modified>
</cp:coreProperties>
</file>