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98B8F" w14:textId="77777777" w:rsidR="006B4F69" w:rsidRPr="006B4F69" w:rsidRDefault="00ED3C48" w:rsidP="006B4F69">
      <w:pPr>
        <w:ind w:left="136" w:right="136" w:firstLine="680"/>
        <w:jc w:val="center"/>
        <w:rPr>
          <w:b/>
        </w:rPr>
      </w:pPr>
      <w:bookmarkStart w:id="0" w:name="_GoBack"/>
      <w:r>
        <w:rPr>
          <w:b/>
        </w:rPr>
        <w:t>Трансформационные процессы</w:t>
      </w:r>
      <w:r w:rsidR="006B4F69" w:rsidRPr="006B4F69">
        <w:rPr>
          <w:b/>
        </w:rPr>
        <w:t xml:space="preserve"> в нефтяной пр</w:t>
      </w:r>
      <w:r>
        <w:rPr>
          <w:b/>
        </w:rPr>
        <w:t>омышленности</w:t>
      </w:r>
      <w:r w:rsidR="00F74357">
        <w:rPr>
          <w:b/>
        </w:rPr>
        <w:t xml:space="preserve"> СССР и современной России</w:t>
      </w:r>
    </w:p>
    <w:p w14:paraId="2B4BEA4E" w14:textId="77777777" w:rsidR="006B4F69" w:rsidRPr="006B4F69" w:rsidRDefault="006B4F69" w:rsidP="006B4F69">
      <w:pPr>
        <w:ind w:left="136" w:right="136" w:firstLine="680"/>
        <w:jc w:val="center"/>
        <w:rPr>
          <w:b/>
          <w:i/>
        </w:rPr>
      </w:pPr>
      <w:proofErr w:type="spellStart"/>
      <w:r w:rsidRPr="006B4F69">
        <w:rPr>
          <w:b/>
          <w:i/>
        </w:rPr>
        <w:t>Кикилашвили</w:t>
      </w:r>
      <w:proofErr w:type="spellEnd"/>
      <w:r w:rsidRPr="006B4F69">
        <w:rPr>
          <w:b/>
          <w:i/>
        </w:rPr>
        <w:t xml:space="preserve"> </w:t>
      </w:r>
      <w:proofErr w:type="spellStart"/>
      <w:r w:rsidRPr="006B4F69">
        <w:rPr>
          <w:b/>
          <w:i/>
        </w:rPr>
        <w:t>Кетеван</w:t>
      </w:r>
      <w:proofErr w:type="spellEnd"/>
      <w:r w:rsidRPr="006B4F69">
        <w:rPr>
          <w:b/>
          <w:i/>
        </w:rPr>
        <w:t xml:space="preserve"> Владимировна</w:t>
      </w:r>
    </w:p>
    <w:p w14:paraId="1A6887C2" w14:textId="77777777" w:rsidR="006B4F69" w:rsidRPr="006B4F69" w:rsidRDefault="006B4F69" w:rsidP="006B4F69">
      <w:pPr>
        <w:ind w:left="136" w:right="136" w:firstLine="680"/>
        <w:jc w:val="center"/>
        <w:rPr>
          <w:i/>
        </w:rPr>
      </w:pPr>
      <w:r w:rsidRPr="006B4F69">
        <w:rPr>
          <w:i/>
        </w:rPr>
        <w:t>Аспирант</w:t>
      </w:r>
    </w:p>
    <w:p w14:paraId="372CD3A7" w14:textId="77777777" w:rsidR="006B4F69" w:rsidRPr="006B4F69" w:rsidRDefault="006B4F69" w:rsidP="006B4F69">
      <w:pPr>
        <w:jc w:val="center"/>
        <w:rPr>
          <w:rFonts w:ascii="Times" w:hAnsi="Times"/>
          <w:sz w:val="20"/>
          <w:szCs w:val="20"/>
          <w:lang w:val="en-US"/>
        </w:rPr>
      </w:pPr>
      <w:r w:rsidRPr="006B4F69">
        <w:rPr>
          <w:i/>
          <w:iCs/>
          <w:color w:val="000000"/>
          <w:sz w:val="27"/>
          <w:szCs w:val="27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6B4F69">
        <w:rPr>
          <w:i/>
          <w:iCs/>
          <w:color w:val="000000"/>
          <w:sz w:val="27"/>
          <w:szCs w:val="27"/>
          <w:shd w:val="clear" w:color="auto" w:fill="FFFFFF"/>
        </w:rPr>
        <w:t>М.В.Ломоносова</w:t>
      </w:r>
      <w:proofErr w:type="spellEnd"/>
      <w:r w:rsidRPr="006B4F69">
        <w:rPr>
          <w:i/>
          <w:iCs/>
          <w:color w:val="000000"/>
          <w:sz w:val="27"/>
          <w:szCs w:val="27"/>
          <w:shd w:val="clear" w:color="auto" w:fill="FFFFFF"/>
        </w:rPr>
        <w:t>, </w:t>
      </w:r>
      <w:r w:rsidRPr="006B4F69">
        <w:rPr>
          <w:i/>
          <w:iCs/>
          <w:color w:val="000000"/>
          <w:sz w:val="27"/>
          <w:szCs w:val="27"/>
          <w:shd w:val="clear" w:color="auto" w:fill="FFFFFF"/>
        </w:rPr>
        <w:br/>
        <w:t>экономический факультет, Москва, Россия</w:t>
      </w:r>
      <w:r w:rsidRPr="006B4F69">
        <w:rPr>
          <w:i/>
          <w:iCs/>
          <w:color w:val="000000"/>
          <w:sz w:val="27"/>
          <w:szCs w:val="27"/>
          <w:shd w:val="clear" w:color="auto" w:fill="FFFFFF"/>
        </w:rPr>
        <w:br/>
        <w:t>E–</w:t>
      </w:r>
      <w:proofErr w:type="spellStart"/>
      <w:r w:rsidRPr="006B4F69">
        <w:rPr>
          <w:i/>
          <w:iCs/>
          <w:color w:val="000000"/>
          <w:sz w:val="27"/>
          <w:szCs w:val="27"/>
          <w:shd w:val="clear" w:color="auto" w:fill="FFFFFF"/>
        </w:rPr>
        <w:t>mail</w:t>
      </w:r>
      <w:proofErr w:type="spellEnd"/>
      <w:r w:rsidRPr="006B4F69">
        <w:rPr>
          <w:i/>
          <w:iCs/>
          <w:color w:val="000000"/>
          <w:sz w:val="27"/>
          <w:szCs w:val="27"/>
          <w:shd w:val="clear" w:color="auto" w:fill="FFFFFF"/>
        </w:rPr>
        <w:t>:</w:t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>
        <w:rPr>
          <w:i/>
          <w:iCs/>
          <w:color w:val="000000"/>
          <w:sz w:val="27"/>
          <w:szCs w:val="27"/>
          <w:shd w:val="clear" w:color="auto" w:fill="FFFFFF"/>
          <w:lang w:val="en-US"/>
        </w:rPr>
        <w:t>kikilashvili@gmail.com</w:t>
      </w:r>
    </w:p>
    <w:p w14:paraId="4DC06DA8" w14:textId="77777777" w:rsidR="006B4F69" w:rsidRDefault="006B4F69" w:rsidP="006B4F69">
      <w:pPr>
        <w:ind w:left="136" w:right="136" w:firstLine="680"/>
        <w:jc w:val="center"/>
      </w:pPr>
    </w:p>
    <w:p w14:paraId="6A3BA483" w14:textId="77777777" w:rsidR="00B41B57" w:rsidRPr="00A5781C" w:rsidRDefault="00F74357" w:rsidP="006B4F69">
      <w:pPr>
        <w:ind w:left="136" w:right="136" w:firstLine="397"/>
        <w:jc w:val="both"/>
      </w:pPr>
      <w:r>
        <w:t>Двадцать три года, минувшие</w:t>
      </w:r>
      <w:r w:rsidR="00B41B57" w:rsidRPr="00A5781C">
        <w:t xml:space="preserve"> после развала СССР стали не только периодом серьезных испытаний для национальных экономик, получивших независимость бывших республик Союза, но и периодом тяжелых испытаний, проверявших их на прочность, жизнестойкость, готовность к развитию с учетом запросов нового времени.</w:t>
      </w:r>
    </w:p>
    <w:p w14:paraId="0D2337AB" w14:textId="77777777" w:rsidR="00B41B57" w:rsidRPr="00A5781C" w:rsidRDefault="00B41B57" w:rsidP="006B4F69">
      <w:pPr>
        <w:ind w:left="136" w:right="136" w:firstLine="397"/>
        <w:jc w:val="both"/>
      </w:pPr>
      <w:r w:rsidRPr="00A5781C">
        <w:t>Нет смысла отрицать очевидный факт: во многом эти успехи оплачены за счет эксплуатации (разработки) имеющихся на территории этих республик природных ресурсов. К числу таких ресурсов, наиболее востребованных современной экономикой, безусловно, относятся энергетические ресурсы, а в первую очередь, нефть.</w:t>
      </w:r>
    </w:p>
    <w:p w14:paraId="1B1B5B30" w14:textId="77777777" w:rsidR="00B41B57" w:rsidRPr="00A5781C" w:rsidRDefault="00B41B57" w:rsidP="006B4F69">
      <w:pPr>
        <w:ind w:left="136" w:right="136" w:firstLine="397"/>
        <w:jc w:val="both"/>
      </w:pPr>
      <w:r w:rsidRPr="00A5781C">
        <w:t>Но, это не значит что наличие нефти является своеобразной «палочкой-выручалочкой» для государств. Напротив, обладание нефтью может таить в себе серьезные проблемы экономического, экологического, внутри - и внешне политического и даже геополитического характера. Не все бывшие республики СССР смогли разумно распорядиться богатством своих недр, в частности нефтью.</w:t>
      </w:r>
    </w:p>
    <w:p w14:paraId="0385FF88" w14:textId="77777777" w:rsidR="00B41B57" w:rsidRPr="00A5781C" w:rsidRDefault="00B41B57" w:rsidP="006B4F69">
      <w:pPr>
        <w:ind w:left="136" w:right="136" w:firstLine="397"/>
        <w:jc w:val="both"/>
      </w:pPr>
      <w:r w:rsidRPr="00A5781C">
        <w:t>Накопленный за прошедшие двадцать лет опыт является по-своему уникальным, поскольку никогда прежде в экономической истории не было примеров реверсивного развития (обратного движения социально-экономических систем). А это значит, что настала пора обобщить и систематизировать, имеющиеся у нас данные о преобразовании различных секторов экономики, в том числе и одного из важнейших – топливно-энергетического сектора.</w:t>
      </w:r>
      <w:r w:rsidR="00F91C68">
        <w:t xml:space="preserve"> </w:t>
      </w:r>
    </w:p>
    <w:p w14:paraId="46A8B5A2" w14:textId="77777777" w:rsidR="00B41B57" w:rsidRPr="00A5781C" w:rsidRDefault="00B41B57" w:rsidP="006B4F69">
      <w:pPr>
        <w:ind w:left="136" w:right="136" w:firstLine="397"/>
        <w:jc w:val="both"/>
      </w:pPr>
      <w:r w:rsidRPr="00A5781C">
        <w:t xml:space="preserve">Общность исторической судьбы и экономического развития стран СНГ в прошлом, наметившееся  единство и различие политических устремлений на нынешнем этапе, дают нам возможность проанализировать и сравнить достигнутые ими успехи и допущенные ошибки. </w:t>
      </w:r>
    </w:p>
    <w:p w14:paraId="514CEEA7" w14:textId="77777777" w:rsidR="00581A64" w:rsidRDefault="00581A64" w:rsidP="00DC460C">
      <w:pPr>
        <w:ind w:left="136" w:right="136" w:firstLine="397"/>
        <w:jc w:val="both"/>
      </w:pPr>
      <w:r w:rsidRPr="00A5781C">
        <w:t>Национальные экономики прошли большой и сложный путь, наполненный различными трансформациями, в числе которых были диаметрально противоположные процессы: приватизация и национализация. Был период резкого спада и периоды реконструкции медленного роста</w:t>
      </w:r>
      <w:r>
        <w:t>.</w:t>
      </w:r>
    </w:p>
    <w:p w14:paraId="0F6C5E9A" w14:textId="77777777" w:rsidR="00DC460C" w:rsidRDefault="00DC460C" w:rsidP="006B4F69">
      <w:pPr>
        <w:ind w:left="136" w:right="136" w:firstLine="397"/>
        <w:jc w:val="both"/>
      </w:pPr>
      <w:r>
        <w:t>Экономика СССР функционировала в рамках планово-распределительной системы и с начала 1920-го года данный сценарий экономического развития спо</w:t>
      </w:r>
      <w:r w:rsidR="00164FDF">
        <w:t>собствовал росту основных экономических показателей</w:t>
      </w:r>
      <w:r w:rsidR="00323261">
        <w:t xml:space="preserve"> и формированию интенсивной энергетической политики</w:t>
      </w:r>
      <w:r w:rsidR="00164FDF">
        <w:t>:</w:t>
      </w:r>
    </w:p>
    <w:tbl>
      <w:tblPr>
        <w:tblStyle w:val="a4"/>
        <w:tblW w:w="9553" w:type="dxa"/>
        <w:tblInd w:w="113" w:type="dxa"/>
        <w:tblLook w:val="04A0" w:firstRow="1" w:lastRow="0" w:firstColumn="1" w:lastColumn="0" w:noHBand="0" w:noVBand="1"/>
      </w:tblPr>
      <w:tblGrid>
        <w:gridCol w:w="2439"/>
        <w:gridCol w:w="2343"/>
        <w:gridCol w:w="2369"/>
        <w:gridCol w:w="2402"/>
      </w:tblGrid>
      <w:tr w:rsidR="00985B18" w14:paraId="0DAFBD41" w14:textId="77777777" w:rsidTr="00323261">
        <w:trPr>
          <w:trHeight w:val="582"/>
        </w:trPr>
        <w:tc>
          <w:tcPr>
            <w:tcW w:w="2414" w:type="dxa"/>
          </w:tcPr>
          <w:p w14:paraId="4B75FCEE" w14:textId="77777777" w:rsidR="00985B18" w:rsidRDefault="00985B18" w:rsidP="00985B18">
            <w:pPr>
              <w:ind w:left="136" w:right="136" w:firstLine="397"/>
              <w:jc w:val="both"/>
            </w:pPr>
          </w:p>
        </w:tc>
        <w:tc>
          <w:tcPr>
            <w:tcW w:w="2366" w:type="dxa"/>
          </w:tcPr>
          <w:p w14:paraId="08751F24" w14:textId="77777777" w:rsidR="00985B18" w:rsidRPr="00323261" w:rsidRDefault="00985B18" w:rsidP="00323261">
            <w:pPr>
              <w:ind w:left="136" w:right="136" w:firstLine="397"/>
              <w:jc w:val="both"/>
            </w:pPr>
            <w:r>
              <w:t>Годы</w:t>
            </w:r>
          </w:p>
        </w:tc>
        <w:tc>
          <w:tcPr>
            <w:tcW w:w="2371" w:type="dxa"/>
          </w:tcPr>
          <w:p w14:paraId="1038520B" w14:textId="77777777" w:rsidR="00985B18" w:rsidRDefault="00985B18" w:rsidP="00985B18">
            <w:pPr>
              <w:ind w:left="136" w:right="136" w:firstLine="397"/>
              <w:jc w:val="both"/>
            </w:pPr>
            <w:r>
              <w:t>Темпы роста</w:t>
            </w:r>
          </w:p>
        </w:tc>
        <w:tc>
          <w:tcPr>
            <w:tcW w:w="2402" w:type="dxa"/>
          </w:tcPr>
          <w:p w14:paraId="5BB018AE" w14:textId="77777777" w:rsidR="00985B18" w:rsidRDefault="00985B18" w:rsidP="00985B18">
            <w:pPr>
              <w:ind w:left="136" w:right="136"/>
              <w:jc w:val="both"/>
            </w:pPr>
            <w:r>
              <w:t>Энергетическая политика</w:t>
            </w:r>
          </w:p>
        </w:tc>
      </w:tr>
      <w:tr w:rsidR="00985B18" w14:paraId="1F042868" w14:textId="77777777" w:rsidTr="00985B18">
        <w:trPr>
          <w:trHeight w:val="663"/>
        </w:trPr>
        <w:tc>
          <w:tcPr>
            <w:tcW w:w="2414" w:type="dxa"/>
            <w:vMerge w:val="restart"/>
          </w:tcPr>
          <w:p w14:paraId="29FC2BA0" w14:textId="77777777" w:rsidR="00985B18" w:rsidRDefault="00985B18" w:rsidP="00985B18">
            <w:pPr>
              <w:ind w:left="136" w:right="136"/>
              <w:jc w:val="both"/>
            </w:pPr>
            <w:r>
              <w:t>Планово-распределительная система</w:t>
            </w:r>
          </w:p>
          <w:p w14:paraId="4A2257C4" w14:textId="77777777" w:rsidR="00985B18" w:rsidRDefault="00985B18" w:rsidP="00985B18">
            <w:pPr>
              <w:ind w:left="136" w:right="136"/>
              <w:jc w:val="both"/>
            </w:pPr>
            <w:r>
              <w:t>С 1930 г. ГОЭЛРО</w:t>
            </w:r>
          </w:p>
        </w:tc>
        <w:tc>
          <w:tcPr>
            <w:tcW w:w="2366" w:type="dxa"/>
          </w:tcPr>
          <w:p w14:paraId="228DCE5A" w14:textId="77777777" w:rsidR="00985B18" w:rsidRDefault="00985B18" w:rsidP="00985B18">
            <w:pPr>
              <w:ind w:left="136" w:right="136" w:firstLine="397"/>
              <w:jc w:val="both"/>
            </w:pPr>
            <w:r>
              <w:t>1920-1940</w:t>
            </w:r>
          </w:p>
        </w:tc>
        <w:tc>
          <w:tcPr>
            <w:tcW w:w="2371" w:type="dxa"/>
          </w:tcPr>
          <w:p w14:paraId="3532057F" w14:textId="77777777" w:rsidR="00985B18" w:rsidRDefault="00985B18" w:rsidP="00985B18">
            <w:pPr>
              <w:ind w:left="136" w:right="136"/>
              <w:jc w:val="both"/>
            </w:pPr>
            <w:r>
              <w:t>Прирост национального дохода в 56 раз</w:t>
            </w:r>
          </w:p>
        </w:tc>
        <w:tc>
          <w:tcPr>
            <w:tcW w:w="2402" w:type="dxa"/>
          </w:tcPr>
          <w:p w14:paraId="5B09B8D2" w14:textId="77777777" w:rsidR="00985B18" w:rsidRDefault="00985B18" w:rsidP="00985B18">
            <w:pPr>
              <w:ind w:left="136" w:right="136"/>
              <w:jc w:val="both"/>
            </w:pPr>
            <w:r>
              <w:t>Мощная программа энергетического строительства; переход от аграрного производства к индустриализации</w:t>
            </w:r>
          </w:p>
        </w:tc>
      </w:tr>
      <w:tr w:rsidR="00985B18" w14:paraId="01F4E25D" w14:textId="77777777" w:rsidTr="00985B18">
        <w:trPr>
          <w:trHeight w:val="145"/>
        </w:trPr>
        <w:tc>
          <w:tcPr>
            <w:tcW w:w="2414" w:type="dxa"/>
            <w:vMerge/>
          </w:tcPr>
          <w:p w14:paraId="7D8EE8A2" w14:textId="77777777" w:rsidR="00985B18" w:rsidRDefault="00985B18" w:rsidP="00985B18">
            <w:pPr>
              <w:ind w:left="136" w:right="136" w:firstLine="397"/>
              <w:jc w:val="both"/>
            </w:pPr>
          </w:p>
        </w:tc>
        <w:tc>
          <w:tcPr>
            <w:tcW w:w="2366" w:type="dxa"/>
          </w:tcPr>
          <w:p w14:paraId="6E7F7A4C" w14:textId="77777777" w:rsidR="00985B18" w:rsidRDefault="00985B18" w:rsidP="00985B18">
            <w:pPr>
              <w:ind w:left="136" w:right="136" w:firstLine="397"/>
              <w:jc w:val="both"/>
            </w:pPr>
            <w:r>
              <w:t>1950-1960</w:t>
            </w:r>
          </w:p>
        </w:tc>
        <w:tc>
          <w:tcPr>
            <w:tcW w:w="2371" w:type="dxa"/>
          </w:tcPr>
          <w:p w14:paraId="2B83A1BC" w14:textId="77777777" w:rsidR="00985B18" w:rsidRDefault="00985B18" w:rsidP="00985B18">
            <w:pPr>
              <w:ind w:left="136" w:right="136"/>
              <w:jc w:val="both"/>
            </w:pPr>
            <w:r>
              <w:t>Рост ВВП: в 1950-е гг. 1,65 и в 1960-е в 1,6 раза</w:t>
            </w:r>
          </w:p>
        </w:tc>
        <w:tc>
          <w:tcPr>
            <w:tcW w:w="2402" w:type="dxa"/>
          </w:tcPr>
          <w:p w14:paraId="73E060F7" w14:textId="77777777" w:rsidR="00985B18" w:rsidRDefault="00985B18" w:rsidP="00985B18">
            <w:pPr>
              <w:ind w:left="136" w:right="136"/>
              <w:jc w:val="both"/>
            </w:pPr>
            <w:r>
              <w:t xml:space="preserve">Низкие цены на энергоносители способствовали </w:t>
            </w:r>
            <w:r>
              <w:lastRenderedPageBreak/>
              <w:t>развитию экономики</w:t>
            </w:r>
          </w:p>
        </w:tc>
      </w:tr>
      <w:tr w:rsidR="00985B18" w14:paraId="7B37AB66" w14:textId="77777777" w:rsidTr="00985B18">
        <w:trPr>
          <w:trHeight w:val="145"/>
        </w:trPr>
        <w:tc>
          <w:tcPr>
            <w:tcW w:w="2414" w:type="dxa"/>
            <w:vMerge/>
          </w:tcPr>
          <w:p w14:paraId="2A9CBC5D" w14:textId="77777777" w:rsidR="00985B18" w:rsidRDefault="00985B18" w:rsidP="00985B18">
            <w:pPr>
              <w:ind w:left="136" w:right="136" w:firstLine="397"/>
              <w:jc w:val="both"/>
            </w:pPr>
          </w:p>
        </w:tc>
        <w:tc>
          <w:tcPr>
            <w:tcW w:w="2366" w:type="dxa"/>
          </w:tcPr>
          <w:p w14:paraId="59F30691" w14:textId="77777777" w:rsidR="00985B18" w:rsidRDefault="00985B18" w:rsidP="00985B18">
            <w:pPr>
              <w:ind w:left="136" w:right="136" w:firstLine="397"/>
              <w:jc w:val="both"/>
            </w:pPr>
            <w:r>
              <w:t>1970-1980</w:t>
            </w:r>
          </w:p>
        </w:tc>
        <w:tc>
          <w:tcPr>
            <w:tcW w:w="2371" w:type="dxa"/>
          </w:tcPr>
          <w:p w14:paraId="5B4FBDCB" w14:textId="77777777" w:rsidR="00985B18" w:rsidRDefault="00985B18" w:rsidP="00985B18">
            <w:pPr>
              <w:ind w:left="136" w:right="136"/>
              <w:jc w:val="both"/>
            </w:pPr>
            <w:r>
              <w:t>Замедление экономического роста на фоне неблагоприятной конъюнктуры мировых цен на нефть</w:t>
            </w:r>
          </w:p>
        </w:tc>
        <w:tc>
          <w:tcPr>
            <w:tcW w:w="2402" w:type="dxa"/>
          </w:tcPr>
          <w:p w14:paraId="1D30FBC6" w14:textId="77777777" w:rsidR="00985B18" w:rsidRDefault="00985B18" w:rsidP="00985B18">
            <w:pPr>
              <w:ind w:right="136"/>
              <w:jc w:val="both"/>
            </w:pPr>
            <w:r>
              <w:t>Активная фаза освоения нефтяных месторождений Западной Сибири; проблема эффективности и отсутствие экономических стимулов в системе хозяйствования, дальнейшая перестройка</w:t>
            </w:r>
          </w:p>
        </w:tc>
      </w:tr>
    </w:tbl>
    <w:p w14:paraId="21B76B68" w14:textId="77777777" w:rsidR="00323261" w:rsidRDefault="00323261" w:rsidP="00581A64">
      <w:pPr>
        <w:ind w:right="136"/>
        <w:jc w:val="both"/>
      </w:pPr>
    </w:p>
    <w:p w14:paraId="14A0384B" w14:textId="77777777" w:rsidR="00323261" w:rsidRDefault="00323261" w:rsidP="00323261">
      <w:pPr>
        <w:ind w:left="136" w:right="136" w:firstLine="397"/>
        <w:jc w:val="both"/>
      </w:pPr>
      <w:r>
        <w:t>Главным инвестором в условиях социалистической системы выступало государство в лице различных ведомств: министерства Нефтяной и газовой промышленности СССР, министерства геологии и др., что в свою очередь, порождало отсутствие конкурентной борьбы в советской социалистической системе хозяйствования. Отсутствие политических и экономических институтов создавало ситуацию неопределенности, неэффективности функционирования нефтяного сектора.</w:t>
      </w:r>
    </w:p>
    <w:p w14:paraId="619C61F9" w14:textId="77777777" w:rsidR="00323261" w:rsidRDefault="00323261" w:rsidP="00F91C68">
      <w:pPr>
        <w:ind w:left="136" w:right="136" w:firstLine="397"/>
        <w:jc w:val="both"/>
      </w:pPr>
      <w:r>
        <w:t xml:space="preserve">Начало 1990-х годов ознаменовалось признанием России одним из ведущих игроков в топливно-энергетическом комплексе мира. В мировом производстве топлива и энергии на долю России приходится 23% добываемого газа, более 10% нефти, почти 6% угля и 6% электроэнергии. </w:t>
      </w:r>
    </w:p>
    <w:p w14:paraId="4767674C" w14:textId="77777777" w:rsidR="00323261" w:rsidRDefault="00323261" w:rsidP="00323261">
      <w:pPr>
        <w:ind w:left="136" w:right="136" w:firstLine="397"/>
        <w:jc w:val="both"/>
      </w:pPr>
      <w:r>
        <w:t xml:space="preserve">Опыт России начала 90-х годов продемонстрировал ситуацию коллапсирующего перехода от социалистической экономической модели к рыночной экономике при отсутствии соответствующих институтов. </w:t>
      </w:r>
    </w:p>
    <w:p w14:paraId="64F2A047" w14:textId="77777777" w:rsidR="00581A64" w:rsidRDefault="00323261" w:rsidP="00581A64">
      <w:pPr>
        <w:ind w:left="136" w:right="136" w:firstLine="397"/>
        <w:jc w:val="both"/>
      </w:pPr>
      <w:r>
        <w:t>Основной предпосылкой к приватизации выступал тезис о «неэффективности государственной собственности как формы управления производственными активами», следовательно, смена режимов прав собственности выглядела как одномоментный переход от одного типа управления к другому.</w:t>
      </w:r>
    </w:p>
    <w:p w14:paraId="4AFBC38C" w14:textId="77777777" w:rsidR="00581A64" w:rsidRDefault="00581A64" w:rsidP="00581A64">
      <w:pPr>
        <w:ind w:left="136" w:right="136" w:firstLine="397"/>
        <w:jc w:val="both"/>
      </w:pPr>
      <w:r>
        <w:t>С развитием нефтяного сектора и превращением нефти в стратегический ресурс государственная политика стала основным ядром использования и перераспределения природных ресурсов. С течением времени глобализация и потребности, предъявляемые международным рынком (в период после распада СССР), создавали н</w:t>
      </w:r>
      <w:r w:rsidR="00256634">
        <w:t>овые «правила игры». Государство</w:t>
      </w:r>
      <w:r>
        <w:t xml:space="preserve"> же, в свою очередь, не желая терять контроль над собственными ресурсами, прибегали к «теневым схемам» трансформации нефтяного рынка, что позволило сохранить ресурсы в руках у основных государственных игроков.</w:t>
      </w:r>
    </w:p>
    <w:p w14:paraId="3789A016" w14:textId="77777777" w:rsidR="00581A64" w:rsidRDefault="00581A64" w:rsidP="00581A64">
      <w:pPr>
        <w:ind w:left="136" w:right="136" w:firstLine="397"/>
        <w:jc w:val="both"/>
      </w:pPr>
    </w:p>
    <w:p w14:paraId="35CF37BF" w14:textId="77777777" w:rsidR="00581A64" w:rsidRPr="00256634" w:rsidRDefault="00581A64" w:rsidP="00256634">
      <w:pPr>
        <w:ind w:left="136" w:right="136" w:firstLine="397"/>
        <w:jc w:val="center"/>
        <w:rPr>
          <w:b/>
        </w:rPr>
      </w:pPr>
      <w:r w:rsidRPr="00256634">
        <w:rPr>
          <w:b/>
        </w:rPr>
        <w:t>Литература</w:t>
      </w:r>
    </w:p>
    <w:p w14:paraId="699A665D" w14:textId="77777777" w:rsidR="00581A64" w:rsidRDefault="00581A64" w:rsidP="00581A64">
      <w:pPr>
        <w:ind w:left="136" w:right="136" w:firstLine="397"/>
        <w:jc w:val="both"/>
      </w:pPr>
    </w:p>
    <w:p w14:paraId="6355DEAA" w14:textId="77777777" w:rsidR="00581A64" w:rsidRPr="008D3491" w:rsidRDefault="00581A64" w:rsidP="00581A64">
      <w:pPr>
        <w:numPr>
          <w:ilvl w:val="0"/>
          <w:numId w:val="1"/>
        </w:numPr>
        <w:spacing w:line="360" w:lineRule="auto"/>
      </w:pPr>
      <w:r>
        <w:t>Бжезинский З. Великая шахматная доска. М., 2003</w:t>
      </w:r>
      <w:r w:rsidR="00256634">
        <w:t>.</w:t>
      </w:r>
    </w:p>
    <w:p w14:paraId="704C1AA3" w14:textId="77777777" w:rsidR="00581A64" w:rsidRPr="008D3491" w:rsidRDefault="00581A64" w:rsidP="00581A64">
      <w:pPr>
        <w:numPr>
          <w:ilvl w:val="0"/>
          <w:numId w:val="1"/>
        </w:numPr>
        <w:spacing w:line="360" w:lineRule="auto"/>
      </w:pPr>
      <w:r>
        <w:t>Бжезинский З. Выбор. Мировое господство или глобальное лидерство. М, 2004</w:t>
      </w:r>
      <w:r w:rsidR="00256634">
        <w:t>.</w:t>
      </w:r>
    </w:p>
    <w:p w14:paraId="32A6DB39" w14:textId="77777777" w:rsidR="00581A64" w:rsidRDefault="00581A64" w:rsidP="00581A64">
      <w:pPr>
        <w:numPr>
          <w:ilvl w:val="0"/>
          <w:numId w:val="1"/>
        </w:numPr>
        <w:spacing w:line="360" w:lineRule="auto"/>
      </w:pPr>
      <w:r>
        <w:t>Брагинский О.Б. Мировой нефтегазовый комплекс. М. 2004</w:t>
      </w:r>
      <w:r w:rsidR="00256634">
        <w:t>.</w:t>
      </w:r>
    </w:p>
    <w:p w14:paraId="4634E4DC" w14:textId="77777777" w:rsidR="00581A64" w:rsidRPr="008D3491" w:rsidRDefault="00581A64" w:rsidP="00581A64">
      <w:pPr>
        <w:numPr>
          <w:ilvl w:val="0"/>
          <w:numId w:val="1"/>
        </w:numPr>
        <w:spacing w:line="360" w:lineRule="auto"/>
      </w:pPr>
      <w:proofErr w:type="spellStart"/>
      <w:r>
        <w:t>Годзишевский</w:t>
      </w:r>
      <w:proofErr w:type="spellEnd"/>
      <w:r>
        <w:t xml:space="preserve"> Э.А., Русская нефть на мировом рынке. М., 1924</w:t>
      </w:r>
      <w:r w:rsidR="00256634">
        <w:t>.</w:t>
      </w:r>
    </w:p>
    <w:p w14:paraId="763CACE0" w14:textId="77777777" w:rsidR="00581A64" w:rsidRDefault="00581A64" w:rsidP="00581A64">
      <w:pPr>
        <w:numPr>
          <w:ilvl w:val="0"/>
          <w:numId w:val="1"/>
        </w:numPr>
        <w:spacing w:line="360" w:lineRule="auto"/>
      </w:pPr>
      <w:r>
        <w:t>Дугин А. Основы геополитики. Геополитическое будущее России. М., 2000</w:t>
      </w:r>
      <w:r w:rsidR="00256634">
        <w:t>.</w:t>
      </w:r>
    </w:p>
    <w:p w14:paraId="10C10F3B" w14:textId="77777777" w:rsidR="00256634" w:rsidRPr="008D3491" w:rsidRDefault="00256634" w:rsidP="00256634">
      <w:pPr>
        <w:numPr>
          <w:ilvl w:val="0"/>
          <w:numId w:val="1"/>
        </w:numPr>
        <w:spacing w:line="360" w:lineRule="auto"/>
      </w:pPr>
      <w:proofErr w:type="spellStart"/>
      <w:r>
        <w:t>Ергин</w:t>
      </w:r>
      <w:proofErr w:type="spellEnd"/>
      <w:r>
        <w:t xml:space="preserve"> Д. Добыча. М., 1999</w:t>
      </w:r>
      <w:r>
        <w:t>.</w:t>
      </w:r>
    </w:p>
    <w:p w14:paraId="03EA738C" w14:textId="6BE0DB8F" w:rsidR="00581A64" w:rsidRDefault="00581A64" w:rsidP="00D0343B">
      <w:pPr>
        <w:numPr>
          <w:ilvl w:val="0"/>
          <w:numId w:val="1"/>
        </w:numPr>
        <w:spacing w:line="360" w:lineRule="auto"/>
      </w:pPr>
      <w:r w:rsidRPr="00581A64">
        <w:t>www.gks.ru (Федеральная служба государственной статистики России).</w:t>
      </w:r>
    </w:p>
    <w:bookmarkEnd w:id="0"/>
    <w:sectPr w:rsidR="00581A64" w:rsidSect="00A5781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CB9"/>
    <w:multiLevelType w:val="multilevel"/>
    <w:tmpl w:val="302C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048BC"/>
    <w:multiLevelType w:val="hybridMultilevel"/>
    <w:tmpl w:val="51F6B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57"/>
    <w:rsid w:val="00164FDF"/>
    <w:rsid w:val="00256634"/>
    <w:rsid w:val="00323261"/>
    <w:rsid w:val="00581A64"/>
    <w:rsid w:val="006750AE"/>
    <w:rsid w:val="006B4F69"/>
    <w:rsid w:val="00985B18"/>
    <w:rsid w:val="00A5781C"/>
    <w:rsid w:val="00A93AEC"/>
    <w:rsid w:val="00B41B57"/>
    <w:rsid w:val="00D0343B"/>
    <w:rsid w:val="00D90547"/>
    <w:rsid w:val="00DC460C"/>
    <w:rsid w:val="00E62DC8"/>
    <w:rsid w:val="00ED3C48"/>
    <w:rsid w:val="00F74357"/>
    <w:rsid w:val="00F91C68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05C2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5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41B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90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B4F69"/>
    <w:rPr>
      <w:i/>
      <w:iCs/>
    </w:rPr>
  </w:style>
  <w:style w:type="character" w:customStyle="1" w:styleId="apple-converted-space">
    <w:name w:val="apple-converted-space"/>
    <w:basedOn w:val="a0"/>
    <w:rsid w:val="006B4F69"/>
  </w:style>
  <w:style w:type="paragraph" w:styleId="2">
    <w:name w:val="List 2"/>
    <w:basedOn w:val="a"/>
    <w:uiPriority w:val="99"/>
    <w:unhideWhenUsed/>
    <w:rsid w:val="00D0343B"/>
    <w:pPr>
      <w:ind w:left="566" w:hanging="283"/>
      <w:contextualSpacing/>
    </w:pPr>
  </w:style>
  <w:style w:type="paragraph" w:styleId="a6">
    <w:name w:val="Title"/>
    <w:basedOn w:val="a"/>
    <w:next w:val="a"/>
    <w:link w:val="a7"/>
    <w:uiPriority w:val="10"/>
    <w:qFormat/>
    <w:rsid w:val="00D034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034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"/>
    <w:basedOn w:val="a"/>
    <w:link w:val="a9"/>
    <w:uiPriority w:val="99"/>
    <w:unhideWhenUsed/>
    <w:rsid w:val="00D034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343B"/>
    <w:rPr>
      <w:rFonts w:ascii="Times New Roman" w:eastAsia="Times New Roman" w:hAnsi="Times New Roman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D0343B"/>
    <w:pPr>
      <w:spacing w:after="120"/>
      <w:ind w:left="283"/>
    </w:pPr>
  </w:style>
  <w:style w:type="character" w:customStyle="1" w:styleId="ab">
    <w:name w:val="Отступ основного текста Знак"/>
    <w:basedOn w:val="a0"/>
    <w:link w:val="aa"/>
    <w:uiPriority w:val="99"/>
    <w:semiHidden/>
    <w:rsid w:val="00D0343B"/>
    <w:rPr>
      <w:rFonts w:ascii="Times New Roman" w:eastAsia="Times New Roman" w:hAnsi="Times New Roman" w:cs="Times New Roman"/>
    </w:rPr>
  </w:style>
  <w:style w:type="paragraph" w:styleId="20">
    <w:name w:val="Body Text First Indent 2"/>
    <w:basedOn w:val="aa"/>
    <w:link w:val="21"/>
    <w:uiPriority w:val="99"/>
    <w:unhideWhenUsed/>
    <w:rsid w:val="00D0343B"/>
    <w:pPr>
      <w:spacing w:after="0"/>
      <w:ind w:left="360" w:firstLine="360"/>
    </w:pPr>
  </w:style>
  <w:style w:type="character" w:customStyle="1" w:styleId="21">
    <w:name w:val="Красная строка 2 Знак"/>
    <w:basedOn w:val="ab"/>
    <w:link w:val="20"/>
    <w:uiPriority w:val="99"/>
    <w:rsid w:val="00D0343B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D03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5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41B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D90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B4F69"/>
    <w:rPr>
      <w:i/>
      <w:iCs/>
    </w:rPr>
  </w:style>
  <w:style w:type="character" w:customStyle="1" w:styleId="apple-converted-space">
    <w:name w:val="apple-converted-space"/>
    <w:basedOn w:val="a0"/>
    <w:rsid w:val="006B4F69"/>
  </w:style>
  <w:style w:type="paragraph" w:styleId="2">
    <w:name w:val="List 2"/>
    <w:basedOn w:val="a"/>
    <w:uiPriority w:val="99"/>
    <w:unhideWhenUsed/>
    <w:rsid w:val="00D0343B"/>
    <w:pPr>
      <w:ind w:left="566" w:hanging="283"/>
      <w:contextualSpacing/>
    </w:pPr>
  </w:style>
  <w:style w:type="paragraph" w:styleId="a6">
    <w:name w:val="Title"/>
    <w:basedOn w:val="a"/>
    <w:next w:val="a"/>
    <w:link w:val="a7"/>
    <w:uiPriority w:val="10"/>
    <w:qFormat/>
    <w:rsid w:val="00D034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034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"/>
    <w:basedOn w:val="a"/>
    <w:link w:val="a9"/>
    <w:uiPriority w:val="99"/>
    <w:unhideWhenUsed/>
    <w:rsid w:val="00D034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343B"/>
    <w:rPr>
      <w:rFonts w:ascii="Times New Roman" w:eastAsia="Times New Roman" w:hAnsi="Times New Roman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D0343B"/>
    <w:pPr>
      <w:spacing w:after="120"/>
      <w:ind w:left="283"/>
    </w:pPr>
  </w:style>
  <w:style w:type="character" w:customStyle="1" w:styleId="ab">
    <w:name w:val="Отступ основного текста Знак"/>
    <w:basedOn w:val="a0"/>
    <w:link w:val="aa"/>
    <w:uiPriority w:val="99"/>
    <w:semiHidden/>
    <w:rsid w:val="00D0343B"/>
    <w:rPr>
      <w:rFonts w:ascii="Times New Roman" w:eastAsia="Times New Roman" w:hAnsi="Times New Roman" w:cs="Times New Roman"/>
    </w:rPr>
  </w:style>
  <w:style w:type="paragraph" w:styleId="20">
    <w:name w:val="Body Text First Indent 2"/>
    <w:basedOn w:val="aa"/>
    <w:link w:val="21"/>
    <w:uiPriority w:val="99"/>
    <w:unhideWhenUsed/>
    <w:rsid w:val="00D0343B"/>
    <w:pPr>
      <w:spacing w:after="0"/>
      <w:ind w:left="360" w:firstLine="360"/>
    </w:pPr>
  </w:style>
  <w:style w:type="character" w:customStyle="1" w:styleId="21">
    <w:name w:val="Красная строка 2 Знак"/>
    <w:basedOn w:val="ab"/>
    <w:link w:val="20"/>
    <w:uiPriority w:val="99"/>
    <w:rsid w:val="00D0343B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D03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71E358-C167-4F40-8404-E3F3A70D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611</Words>
  <Characters>4541</Characters>
  <Application>Microsoft Macintosh Word</Application>
  <DocSecurity>0</DocSecurity>
  <Lines>137</Lines>
  <Paragraphs>40</Paragraphs>
  <ScaleCrop>false</ScaleCrop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Кети</dc:creator>
  <cp:keywords/>
  <dc:description/>
  <cp:lastModifiedBy>Кети</cp:lastModifiedBy>
  <cp:revision>4</cp:revision>
  <dcterms:created xsi:type="dcterms:W3CDTF">2014-02-25T09:36:00Z</dcterms:created>
  <dcterms:modified xsi:type="dcterms:W3CDTF">2014-02-25T12:20:00Z</dcterms:modified>
</cp:coreProperties>
</file>